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47" w:rsidRPr="00E96447" w:rsidRDefault="00E96447" w:rsidP="00E96447">
      <w:pPr>
        <w:spacing w:after="0" w:line="240" w:lineRule="auto"/>
        <w:jc w:val="center"/>
        <w:rPr>
          <w:rFonts w:ascii="Arial" w:eastAsia="Times New Roman" w:hAnsi="Arial" w:cs="Times New Roman"/>
          <w:sz w:val="28"/>
          <w:szCs w:val="20"/>
          <w:lang w:val="en-US" w:eastAsia="ru-RU"/>
        </w:rPr>
      </w:pPr>
      <w:bookmarkStart w:id="0" w:name="_GoBack"/>
      <w:bookmarkEnd w:id="0"/>
      <w:r>
        <w:rPr>
          <w:rFonts w:ascii="Times New Roman" w:eastAsia="Times New Roman" w:hAnsi="Times New Roman" w:cs="Times New Roman"/>
          <w:noProof/>
          <w:sz w:val="20"/>
          <w:szCs w:val="20"/>
          <w:lang w:eastAsia="ru-RU"/>
        </w:rPr>
        <w:drawing>
          <wp:inline distT="0" distB="0" distL="0" distR="0" wp14:anchorId="5578EF11" wp14:editId="1B78412F">
            <wp:extent cx="819150" cy="993775"/>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3775"/>
                    </a:xfrm>
                    <a:prstGeom prst="rect">
                      <a:avLst/>
                    </a:prstGeom>
                    <a:noFill/>
                    <a:ln>
                      <a:noFill/>
                    </a:ln>
                  </pic:spPr>
                </pic:pic>
              </a:graphicData>
            </a:graphic>
          </wp:inline>
        </w:drawing>
      </w:r>
    </w:p>
    <w:p w:rsidR="00E96447" w:rsidRPr="00E96447" w:rsidRDefault="00E96447" w:rsidP="00E96447">
      <w:pPr>
        <w:pBdr>
          <w:bottom w:val="double" w:sz="12" w:space="1" w:color="auto"/>
        </w:pBdr>
        <w:spacing w:after="0" w:line="360" w:lineRule="auto"/>
        <w:jc w:val="center"/>
        <w:rPr>
          <w:rFonts w:ascii="Times New Roman" w:eastAsia="Times New Roman" w:hAnsi="Times New Roman" w:cs="Times New Roman"/>
          <w:b/>
          <w:spacing w:val="120"/>
          <w:sz w:val="44"/>
          <w:szCs w:val="20"/>
          <w:lang w:eastAsia="ru-RU"/>
        </w:rPr>
      </w:pPr>
      <w:r w:rsidRPr="00E96447">
        <w:rPr>
          <w:rFonts w:ascii="Arial" w:eastAsia="Times New Roman" w:hAnsi="Arial" w:cs="Times New Roman"/>
          <w:b/>
          <w:sz w:val="28"/>
          <w:szCs w:val="20"/>
          <w:lang w:eastAsia="ru-RU"/>
        </w:rPr>
        <w:t>Администрация Артемовского городского округа</w:t>
      </w:r>
      <w:r w:rsidRPr="00E96447">
        <w:rPr>
          <w:rFonts w:ascii="Times New Roman" w:eastAsia="Times New Roman" w:hAnsi="Times New Roman" w:cs="Times New Roman"/>
          <w:b/>
          <w:spacing w:val="120"/>
          <w:sz w:val="44"/>
          <w:szCs w:val="20"/>
          <w:lang w:eastAsia="ru-RU"/>
        </w:rPr>
        <w:t xml:space="preserve"> </w:t>
      </w:r>
    </w:p>
    <w:p w:rsidR="00E96447" w:rsidRPr="00E96447" w:rsidRDefault="00E96447" w:rsidP="00E96447">
      <w:pPr>
        <w:pBdr>
          <w:bottom w:val="double" w:sz="12" w:space="1" w:color="auto"/>
        </w:pBdr>
        <w:spacing w:after="0" w:line="360" w:lineRule="auto"/>
        <w:jc w:val="center"/>
        <w:rPr>
          <w:rFonts w:ascii="Arial" w:eastAsia="Times New Roman" w:hAnsi="Arial" w:cs="Times New Roman"/>
          <w:b/>
          <w:sz w:val="28"/>
          <w:szCs w:val="20"/>
          <w:lang w:eastAsia="ru-RU"/>
        </w:rPr>
      </w:pPr>
      <w:r w:rsidRPr="00E96447">
        <w:rPr>
          <w:rFonts w:ascii="Times New Roman" w:eastAsia="Times New Roman" w:hAnsi="Times New Roman" w:cs="Times New Roman"/>
          <w:b/>
          <w:spacing w:val="120"/>
          <w:sz w:val="44"/>
          <w:szCs w:val="20"/>
          <w:lang w:eastAsia="ru-RU"/>
        </w:rPr>
        <w:t>ПОСТАНОВЛЕНИЕ</w:t>
      </w:r>
    </w:p>
    <w:p w:rsidR="00651DF1" w:rsidRDefault="00651DF1" w:rsidP="00DA0BF7">
      <w:pPr>
        <w:pStyle w:val="a5"/>
        <w:tabs>
          <w:tab w:val="left" w:pos="4215"/>
        </w:tabs>
        <w:rPr>
          <w:rFonts w:ascii="Times New Roman" w:hAnsi="Times New Roman" w:cs="Times New Roman"/>
          <w:b/>
          <w:i/>
          <w:sz w:val="28"/>
          <w:szCs w:val="28"/>
        </w:rPr>
      </w:pPr>
    </w:p>
    <w:p w:rsidR="00651DF1" w:rsidRDefault="00651DF1" w:rsidP="00DA0BF7">
      <w:pPr>
        <w:pStyle w:val="a5"/>
        <w:tabs>
          <w:tab w:val="left" w:pos="4215"/>
        </w:tabs>
        <w:rPr>
          <w:rFonts w:ascii="Times New Roman" w:hAnsi="Times New Roman" w:cs="Times New Roman"/>
          <w:b/>
          <w:i/>
          <w:sz w:val="28"/>
          <w:szCs w:val="28"/>
        </w:rPr>
      </w:pPr>
    </w:p>
    <w:p w:rsidR="00651DF1" w:rsidRPr="0019617E" w:rsidRDefault="0019617E" w:rsidP="00DA0BF7">
      <w:pPr>
        <w:pStyle w:val="a5"/>
        <w:tabs>
          <w:tab w:val="left" w:pos="4215"/>
        </w:tabs>
        <w:rPr>
          <w:rFonts w:ascii="Times New Roman" w:hAnsi="Times New Roman" w:cs="Times New Roman"/>
          <w:sz w:val="28"/>
          <w:szCs w:val="28"/>
        </w:rPr>
      </w:pPr>
      <w:r>
        <w:rPr>
          <w:rFonts w:ascii="Times New Roman" w:hAnsi="Times New Roman" w:cs="Times New Roman"/>
          <w:sz w:val="28"/>
          <w:szCs w:val="28"/>
        </w:rPr>
        <w:t>о</w:t>
      </w:r>
      <w:r w:rsidRPr="0019617E">
        <w:rPr>
          <w:rFonts w:ascii="Times New Roman" w:hAnsi="Times New Roman" w:cs="Times New Roman"/>
          <w:sz w:val="28"/>
          <w:szCs w:val="28"/>
        </w:rPr>
        <w:t xml:space="preserve">т </w:t>
      </w:r>
      <w:r w:rsidR="0037367D">
        <w:rPr>
          <w:rFonts w:ascii="Times New Roman" w:hAnsi="Times New Roman" w:cs="Times New Roman"/>
          <w:sz w:val="28"/>
          <w:szCs w:val="28"/>
        </w:rPr>
        <w:t>18.10.2016</w:t>
      </w:r>
      <w:r>
        <w:rPr>
          <w:rFonts w:ascii="Times New Roman" w:hAnsi="Times New Roman" w:cs="Times New Roman"/>
          <w:sz w:val="28"/>
          <w:szCs w:val="28"/>
        </w:rPr>
        <w:t xml:space="preserve">                                                               </w:t>
      </w:r>
      <w:r w:rsidR="008E5F52">
        <w:rPr>
          <w:rFonts w:ascii="Times New Roman" w:hAnsi="Times New Roman" w:cs="Times New Roman"/>
          <w:sz w:val="28"/>
          <w:szCs w:val="28"/>
        </w:rPr>
        <w:t xml:space="preserve">               </w:t>
      </w:r>
      <w:r>
        <w:rPr>
          <w:rFonts w:ascii="Times New Roman" w:hAnsi="Times New Roman" w:cs="Times New Roman"/>
          <w:sz w:val="28"/>
          <w:szCs w:val="28"/>
        </w:rPr>
        <w:t xml:space="preserve"> </w:t>
      </w:r>
      <w:r w:rsidR="003736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617E">
        <w:rPr>
          <w:rFonts w:ascii="Times New Roman" w:hAnsi="Times New Roman" w:cs="Times New Roman"/>
          <w:sz w:val="28"/>
          <w:szCs w:val="28"/>
        </w:rPr>
        <w:t xml:space="preserve">№ </w:t>
      </w:r>
      <w:r w:rsidR="0037367D">
        <w:rPr>
          <w:rFonts w:ascii="Times New Roman" w:hAnsi="Times New Roman" w:cs="Times New Roman"/>
          <w:sz w:val="28"/>
          <w:szCs w:val="28"/>
        </w:rPr>
        <w:t>1155-</w:t>
      </w:r>
      <w:r w:rsidRPr="0019617E">
        <w:rPr>
          <w:rFonts w:ascii="Times New Roman" w:hAnsi="Times New Roman" w:cs="Times New Roman"/>
          <w:sz w:val="28"/>
          <w:szCs w:val="28"/>
        </w:rPr>
        <w:t>ПА</w:t>
      </w:r>
    </w:p>
    <w:p w:rsidR="00651DF1" w:rsidRDefault="00651DF1" w:rsidP="00DA0BF7">
      <w:pPr>
        <w:pStyle w:val="a5"/>
        <w:tabs>
          <w:tab w:val="left" w:pos="4215"/>
        </w:tabs>
        <w:rPr>
          <w:rFonts w:ascii="Times New Roman" w:hAnsi="Times New Roman" w:cs="Times New Roman"/>
          <w:b/>
          <w:i/>
          <w:sz w:val="28"/>
          <w:szCs w:val="28"/>
        </w:rPr>
      </w:pPr>
    </w:p>
    <w:p w:rsidR="00356BC7" w:rsidRDefault="00356BC7" w:rsidP="00DA0BF7">
      <w:pPr>
        <w:pStyle w:val="a5"/>
        <w:tabs>
          <w:tab w:val="left" w:pos="4215"/>
        </w:tabs>
        <w:rPr>
          <w:rFonts w:ascii="Times New Roman" w:hAnsi="Times New Roman" w:cs="Times New Roman"/>
          <w:b/>
          <w:i/>
          <w:sz w:val="28"/>
          <w:szCs w:val="28"/>
        </w:rPr>
      </w:pPr>
    </w:p>
    <w:p w:rsidR="007B35B6" w:rsidRPr="00E508A3" w:rsidRDefault="007B35B6" w:rsidP="00C44017">
      <w:pPr>
        <w:pStyle w:val="a5"/>
        <w:jc w:val="center"/>
        <w:rPr>
          <w:rFonts w:ascii="Times New Roman" w:hAnsi="Times New Roman" w:cs="Times New Roman"/>
          <w:b/>
          <w:i/>
          <w:sz w:val="27"/>
          <w:szCs w:val="27"/>
        </w:rPr>
      </w:pPr>
      <w:r w:rsidRPr="00E508A3">
        <w:rPr>
          <w:rFonts w:ascii="Times New Roman" w:hAnsi="Times New Roman" w:cs="Times New Roman"/>
          <w:b/>
          <w:i/>
          <w:sz w:val="27"/>
          <w:szCs w:val="27"/>
        </w:rPr>
        <w:t>О прогнозе социально-экономического развития</w:t>
      </w:r>
    </w:p>
    <w:p w:rsidR="00BB3FCD" w:rsidRPr="00E508A3" w:rsidRDefault="007B35B6" w:rsidP="0095703C">
      <w:pPr>
        <w:pStyle w:val="a5"/>
        <w:jc w:val="center"/>
        <w:rPr>
          <w:rFonts w:ascii="Times New Roman" w:hAnsi="Times New Roman" w:cs="Times New Roman"/>
          <w:b/>
          <w:i/>
          <w:sz w:val="27"/>
          <w:szCs w:val="27"/>
        </w:rPr>
      </w:pPr>
      <w:r w:rsidRPr="00E508A3">
        <w:rPr>
          <w:rFonts w:ascii="Times New Roman" w:hAnsi="Times New Roman" w:cs="Times New Roman"/>
          <w:b/>
          <w:i/>
          <w:sz w:val="27"/>
          <w:szCs w:val="27"/>
        </w:rPr>
        <w:t>Артемовского городского округа на 201</w:t>
      </w:r>
      <w:r w:rsidR="002E4A2B" w:rsidRPr="00E508A3">
        <w:rPr>
          <w:rFonts w:ascii="Times New Roman" w:hAnsi="Times New Roman" w:cs="Times New Roman"/>
          <w:b/>
          <w:i/>
          <w:sz w:val="27"/>
          <w:szCs w:val="27"/>
        </w:rPr>
        <w:t>7</w:t>
      </w:r>
      <w:r w:rsidR="00BB3FCD" w:rsidRPr="00E508A3">
        <w:rPr>
          <w:rFonts w:ascii="Times New Roman" w:hAnsi="Times New Roman" w:cs="Times New Roman"/>
          <w:b/>
          <w:i/>
          <w:sz w:val="27"/>
          <w:szCs w:val="27"/>
        </w:rPr>
        <w:t xml:space="preserve"> год и плановый период </w:t>
      </w:r>
    </w:p>
    <w:p w:rsidR="007B35B6" w:rsidRPr="00E508A3" w:rsidRDefault="00BB3FCD" w:rsidP="0095703C">
      <w:pPr>
        <w:pStyle w:val="a5"/>
        <w:jc w:val="center"/>
        <w:rPr>
          <w:rFonts w:ascii="Times New Roman" w:hAnsi="Times New Roman" w:cs="Times New Roman"/>
          <w:b/>
          <w:i/>
          <w:sz w:val="27"/>
          <w:szCs w:val="27"/>
        </w:rPr>
      </w:pPr>
      <w:r w:rsidRPr="00E508A3">
        <w:rPr>
          <w:rFonts w:ascii="Times New Roman" w:hAnsi="Times New Roman" w:cs="Times New Roman"/>
          <w:b/>
          <w:i/>
          <w:sz w:val="27"/>
          <w:szCs w:val="27"/>
        </w:rPr>
        <w:t>201</w:t>
      </w:r>
      <w:r w:rsidR="002E4A2B" w:rsidRPr="00E508A3">
        <w:rPr>
          <w:rFonts w:ascii="Times New Roman" w:hAnsi="Times New Roman" w:cs="Times New Roman"/>
          <w:b/>
          <w:i/>
          <w:sz w:val="27"/>
          <w:szCs w:val="27"/>
        </w:rPr>
        <w:t>8</w:t>
      </w:r>
      <w:r w:rsidRPr="00E508A3">
        <w:rPr>
          <w:rFonts w:ascii="Times New Roman" w:hAnsi="Times New Roman" w:cs="Times New Roman"/>
          <w:b/>
          <w:i/>
          <w:sz w:val="27"/>
          <w:szCs w:val="27"/>
        </w:rPr>
        <w:t xml:space="preserve"> и 201</w:t>
      </w:r>
      <w:r w:rsidR="002E4A2B" w:rsidRPr="00E508A3">
        <w:rPr>
          <w:rFonts w:ascii="Times New Roman" w:hAnsi="Times New Roman" w:cs="Times New Roman"/>
          <w:b/>
          <w:i/>
          <w:sz w:val="27"/>
          <w:szCs w:val="27"/>
        </w:rPr>
        <w:t>9</w:t>
      </w:r>
      <w:r w:rsidR="007B35B6" w:rsidRPr="00E508A3">
        <w:rPr>
          <w:rFonts w:ascii="Times New Roman" w:hAnsi="Times New Roman" w:cs="Times New Roman"/>
          <w:b/>
          <w:i/>
          <w:sz w:val="27"/>
          <w:szCs w:val="27"/>
        </w:rPr>
        <w:t xml:space="preserve"> год</w:t>
      </w:r>
      <w:r w:rsidRPr="00E508A3">
        <w:rPr>
          <w:rFonts w:ascii="Times New Roman" w:hAnsi="Times New Roman" w:cs="Times New Roman"/>
          <w:b/>
          <w:i/>
          <w:sz w:val="27"/>
          <w:szCs w:val="27"/>
        </w:rPr>
        <w:t>ов</w:t>
      </w:r>
    </w:p>
    <w:p w:rsidR="001E35C3" w:rsidRPr="00E508A3" w:rsidRDefault="001E35C3" w:rsidP="0095703C">
      <w:pPr>
        <w:pStyle w:val="a5"/>
        <w:jc w:val="center"/>
        <w:rPr>
          <w:rFonts w:ascii="Times New Roman" w:hAnsi="Times New Roman" w:cs="Times New Roman"/>
          <w:b/>
          <w:i/>
          <w:sz w:val="27"/>
          <w:szCs w:val="27"/>
        </w:rPr>
      </w:pPr>
    </w:p>
    <w:p w:rsidR="007B35B6" w:rsidRPr="00E508A3" w:rsidRDefault="009A68F0"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В</w:t>
      </w:r>
      <w:r w:rsidR="007B35B6" w:rsidRPr="00E508A3">
        <w:rPr>
          <w:rFonts w:ascii="Times New Roman" w:hAnsi="Times New Roman" w:cs="Times New Roman"/>
          <w:sz w:val="27"/>
          <w:szCs w:val="27"/>
        </w:rPr>
        <w:t xml:space="preserve"> соответствии </w:t>
      </w:r>
      <w:r w:rsidRPr="00E508A3">
        <w:rPr>
          <w:rFonts w:ascii="Times New Roman" w:hAnsi="Times New Roman" w:cs="Times New Roman"/>
          <w:sz w:val="27"/>
          <w:szCs w:val="27"/>
        </w:rPr>
        <w:t>с</w:t>
      </w:r>
      <w:r w:rsidR="007B35B6" w:rsidRPr="00E508A3">
        <w:rPr>
          <w:rFonts w:ascii="Times New Roman" w:hAnsi="Times New Roman" w:cs="Times New Roman"/>
          <w:sz w:val="27"/>
          <w:szCs w:val="27"/>
        </w:rPr>
        <w:t xml:space="preserve"> Бюджетн</w:t>
      </w:r>
      <w:r w:rsidRPr="00E508A3">
        <w:rPr>
          <w:rFonts w:ascii="Times New Roman" w:hAnsi="Times New Roman" w:cs="Times New Roman"/>
          <w:sz w:val="27"/>
          <w:szCs w:val="27"/>
        </w:rPr>
        <w:t>ым</w:t>
      </w:r>
      <w:r w:rsidR="007B35B6" w:rsidRPr="00E508A3">
        <w:rPr>
          <w:rFonts w:ascii="Times New Roman" w:hAnsi="Times New Roman" w:cs="Times New Roman"/>
          <w:sz w:val="27"/>
          <w:szCs w:val="27"/>
        </w:rPr>
        <w:t xml:space="preserve"> кодекс</w:t>
      </w:r>
      <w:r w:rsidRPr="00E508A3">
        <w:rPr>
          <w:rFonts w:ascii="Times New Roman" w:hAnsi="Times New Roman" w:cs="Times New Roman"/>
          <w:sz w:val="27"/>
          <w:szCs w:val="27"/>
        </w:rPr>
        <w:t>ом</w:t>
      </w:r>
      <w:r w:rsidR="007B35B6" w:rsidRPr="00E508A3">
        <w:rPr>
          <w:rFonts w:ascii="Times New Roman" w:hAnsi="Times New Roman" w:cs="Times New Roman"/>
          <w:sz w:val="27"/>
          <w:szCs w:val="27"/>
        </w:rPr>
        <w:t xml:space="preserve"> Российской Федерации,</w:t>
      </w:r>
      <w:r w:rsidRPr="00E508A3">
        <w:rPr>
          <w:rFonts w:ascii="Times New Roman" w:hAnsi="Times New Roman" w:cs="Times New Roman"/>
          <w:sz w:val="27"/>
          <w:szCs w:val="27"/>
        </w:rPr>
        <w:t xml:space="preserve"> руководствуясь Положением о бюджетном процессе в Артемовском городском округе, утвержденным решением Думы Артемовского городского округа от 2</w:t>
      </w:r>
      <w:r w:rsidR="00E96447" w:rsidRPr="00E508A3">
        <w:rPr>
          <w:rFonts w:ascii="Times New Roman" w:hAnsi="Times New Roman" w:cs="Times New Roman"/>
          <w:sz w:val="27"/>
          <w:szCs w:val="27"/>
        </w:rPr>
        <w:t>6</w:t>
      </w:r>
      <w:r w:rsidRPr="00E508A3">
        <w:rPr>
          <w:rFonts w:ascii="Times New Roman" w:hAnsi="Times New Roman" w:cs="Times New Roman"/>
          <w:sz w:val="27"/>
          <w:szCs w:val="27"/>
        </w:rPr>
        <w:t>.</w:t>
      </w:r>
      <w:r w:rsidR="00E96447" w:rsidRPr="00E508A3">
        <w:rPr>
          <w:rFonts w:ascii="Times New Roman" w:hAnsi="Times New Roman" w:cs="Times New Roman"/>
          <w:sz w:val="27"/>
          <w:szCs w:val="27"/>
        </w:rPr>
        <w:t>02</w:t>
      </w:r>
      <w:r w:rsidRPr="00E508A3">
        <w:rPr>
          <w:rFonts w:ascii="Times New Roman" w:hAnsi="Times New Roman" w:cs="Times New Roman"/>
          <w:sz w:val="27"/>
          <w:szCs w:val="27"/>
        </w:rPr>
        <w:t>.201</w:t>
      </w:r>
      <w:r w:rsidR="00E96447" w:rsidRPr="00E508A3">
        <w:rPr>
          <w:rFonts w:ascii="Times New Roman" w:hAnsi="Times New Roman" w:cs="Times New Roman"/>
          <w:sz w:val="27"/>
          <w:szCs w:val="27"/>
        </w:rPr>
        <w:t>5 № 624</w:t>
      </w:r>
      <w:r w:rsidR="00E508A3" w:rsidRPr="00E508A3">
        <w:rPr>
          <w:rFonts w:ascii="Times New Roman" w:hAnsi="Times New Roman" w:cs="Times New Roman"/>
          <w:sz w:val="27"/>
          <w:szCs w:val="27"/>
        </w:rPr>
        <w:t xml:space="preserve"> (с изменениями)</w:t>
      </w:r>
      <w:r w:rsidR="00C74D9C" w:rsidRPr="00E508A3">
        <w:rPr>
          <w:rFonts w:ascii="Times New Roman" w:hAnsi="Times New Roman" w:cs="Times New Roman"/>
          <w:sz w:val="27"/>
          <w:szCs w:val="27"/>
        </w:rPr>
        <w:t>,</w:t>
      </w:r>
      <w:r w:rsidRPr="00E508A3">
        <w:rPr>
          <w:rFonts w:ascii="Times New Roman" w:hAnsi="Times New Roman" w:cs="Times New Roman"/>
          <w:sz w:val="27"/>
          <w:szCs w:val="27"/>
        </w:rPr>
        <w:t xml:space="preserve"> </w:t>
      </w:r>
      <w:r w:rsidR="00085721" w:rsidRPr="00E508A3">
        <w:rPr>
          <w:rFonts w:ascii="Times New Roman" w:hAnsi="Times New Roman" w:cs="Times New Roman"/>
          <w:sz w:val="27"/>
          <w:szCs w:val="27"/>
        </w:rPr>
        <w:t>статьями 29.1-31 Устава Артемовского городского округа</w:t>
      </w:r>
      <w:r w:rsidR="007B35B6" w:rsidRPr="00E508A3">
        <w:rPr>
          <w:rFonts w:ascii="Times New Roman" w:hAnsi="Times New Roman" w:cs="Times New Roman"/>
          <w:sz w:val="27"/>
          <w:szCs w:val="27"/>
        </w:rPr>
        <w:t xml:space="preserve">, </w:t>
      </w:r>
    </w:p>
    <w:p w:rsidR="007B35B6" w:rsidRPr="00E508A3" w:rsidRDefault="007B35B6" w:rsidP="00CF190D">
      <w:pPr>
        <w:pStyle w:val="a5"/>
        <w:jc w:val="both"/>
        <w:rPr>
          <w:rFonts w:ascii="Times New Roman" w:hAnsi="Times New Roman" w:cs="Times New Roman"/>
          <w:sz w:val="27"/>
          <w:szCs w:val="27"/>
        </w:rPr>
      </w:pPr>
      <w:r w:rsidRPr="00E508A3">
        <w:rPr>
          <w:rFonts w:ascii="Times New Roman" w:hAnsi="Times New Roman" w:cs="Times New Roman"/>
          <w:sz w:val="27"/>
          <w:szCs w:val="27"/>
        </w:rPr>
        <w:t>ПОСТАНОВЛЯЮ:</w:t>
      </w:r>
    </w:p>
    <w:p w:rsidR="007B35B6" w:rsidRPr="00E508A3" w:rsidRDefault="007B35B6"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1.</w:t>
      </w:r>
      <w:r w:rsidR="00266278" w:rsidRPr="00E508A3">
        <w:rPr>
          <w:rFonts w:ascii="Times New Roman" w:hAnsi="Times New Roman" w:cs="Times New Roman"/>
          <w:sz w:val="27"/>
          <w:szCs w:val="27"/>
        </w:rPr>
        <w:t> </w:t>
      </w:r>
      <w:r w:rsidRPr="00E508A3">
        <w:rPr>
          <w:rFonts w:ascii="Times New Roman" w:hAnsi="Times New Roman" w:cs="Times New Roman"/>
          <w:sz w:val="27"/>
          <w:szCs w:val="27"/>
        </w:rPr>
        <w:t>Одобрить прогноз социально-экономического развития Артемовского городского округа на 201</w:t>
      </w:r>
      <w:r w:rsidR="002E4A2B" w:rsidRPr="00E508A3">
        <w:rPr>
          <w:rFonts w:ascii="Times New Roman" w:hAnsi="Times New Roman" w:cs="Times New Roman"/>
          <w:sz w:val="27"/>
          <w:szCs w:val="27"/>
        </w:rPr>
        <w:t>7</w:t>
      </w:r>
      <w:r w:rsidR="00BB3FCD" w:rsidRPr="00E508A3">
        <w:rPr>
          <w:rFonts w:ascii="Times New Roman" w:hAnsi="Times New Roman" w:cs="Times New Roman"/>
          <w:sz w:val="27"/>
          <w:szCs w:val="27"/>
        </w:rPr>
        <w:t xml:space="preserve"> год и плановый период 201</w:t>
      </w:r>
      <w:r w:rsidR="002E4A2B" w:rsidRPr="00E508A3">
        <w:rPr>
          <w:rFonts w:ascii="Times New Roman" w:hAnsi="Times New Roman" w:cs="Times New Roman"/>
          <w:sz w:val="27"/>
          <w:szCs w:val="27"/>
        </w:rPr>
        <w:t>8</w:t>
      </w:r>
      <w:r w:rsidR="00BB3FCD" w:rsidRPr="00E508A3">
        <w:rPr>
          <w:rFonts w:ascii="Times New Roman" w:hAnsi="Times New Roman" w:cs="Times New Roman"/>
          <w:sz w:val="27"/>
          <w:szCs w:val="27"/>
        </w:rPr>
        <w:t xml:space="preserve"> и </w:t>
      </w:r>
      <w:r w:rsidRPr="00E508A3">
        <w:rPr>
          <w:rFonts w:ascii="Times New Roman" w:hAnsi="Times New Roman" w:cs="Times New Roman"/>
          <w:sz w:val="27"/>
          <w:szCs w:val="27"/>
        </w:rPr>
        <w:t>201</w:t>
      </w:r>
      <w:r w:rsidR="002E4A2B" w:rsidRPr="00E508A3">
        <w:rPr>
          <w:rFonts w:ascii="Times New Roman" w:hAnsi="Times New Roman" w:cs="Times New Roman"/>
          <w:sz w:val="27"/>
          <w:szCs w:val="27"/>
        </w:rPr>
        <w:t>9</w:t>
      </w:r>
      <w:r w:rsidRPr="00E508A3">
        <w:rPr>
          <w:rFonts w:ascii="Times New Roman" w:hAnsi="Times New Roman" w:cs="Times New Roman"/>
          <w:sz w:val="27"/>
          <w:szCs w:val="27"/>
        </w:rPr>
        <w:t xml:space="preserve"> год</w:t>
      </w:r>
      <w:r w:rsidR="00BB3FCD" w:rsidRPr="00E508A3">
        <w:rPr>
          <w:rFonts w:ascii="Times New Roman" w:hAnsi="Times New Roman" w:cs="Times New Roman"/>
          <w:sz w:val="27"/>
          <w:szCs w:val="27"/>
        </w:rPr>
        <w:t>ов</w:t>
      </w:r>
      <w:r w:rsidRPr="00E508A3">
        <w:rPr>
          <w:rFonts w:ascii="Times New Roman" w:hAnsi="Times New Roman" w:cs="Times New Roman"/>
          <w:sz w:val="27"/>
          <w:szCs w:val="27"/>
        </w:rPr>
        <w:t xml:space="preserve"> (</w:t>
      </w:r>
      <w:r w:rsidR="00600588" w:rsidRPr="00E508A3">
        <w:rPr>
          <w:rFonts w:ascii="Times New Roman" w:hAnsi="Times New Roman" w:cs="Times New Roman"/>
          <w:sz w:val="27"/>
          <w:szCs w:val="27"/>
        </w:rPr>
        <w:t>П</w:t>
      </w:r>
      <w:r w:rsidR="00F22703" w:rsidRPr="00E508A3">
        <w:rPr>
          <w:rFonts w:ascii="Times New Roman" w:hAnsi="Times New Roman" w:cs="Times New Roman"/>
          <w:sz w:val="27"/>
          <w:szCs w:val="27"/>
        </w:rPr>
        <w:t>риложение</w:t>
      </w:r>
      <w:r w:rsidRPr="00E508A3">
        <w:rPr>
          <w:rFonts w:ascii="Times New Roman" w:hAnsi="Times New Roman" w:cs="Times New Roman"/>
          <w:sz w:val="27"/>
          <w:szCs w:val="27"/>
        </w:rPr>
        <w:t>).</w:t>
      </w:r>
    </w:p>
    <w:p w:rsidR="007B35B6" w:rsidRPr="00E508A3" w:rsidRDefault="00266278"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2. </w:t>
      </w:r>
      <w:r w:rsidR="007B35B6" w:rsidRPr="00E508A3">
        <w:rPr>
          <w:rFonts w:ascii="Times New Roman" w:hAnsi="Times New Roman" w:cs="Times New Roman"/>
          <w:sz w:val="27"/>
          <w:szCs w:val="27"/>
        </w:rPr>
        <w:t xml:space="preserve">Финансовому управлению </w:t>
      </w:r>
      <w:r w:rsidR="00E96447" w:rsidRPr="00E508A3">
        <w:rPr>
          <w:rFonts w:ascii="Times New Roman" w:hAnsi="Times New Roman" w:cs="Times New Roman"/>
          <w:sz w:val="27"/>
          <w:szCs w:val="27"/>
        </w:rPr>
        <w:t>А</w:t>
      </w:r>
      <w:r w:rsidR="007B35B6" w:rsidRPr="00E508A3">
        <w:rPr>
          <w:rFonts w:ascii="Times New Roman" w:hAnsi="Times New Roman" w:cs="Times New Roman"/>
          <w:sz w:val="27"/>
          <w:szCs w:val="27"/>
        </w:rPr>
        <w:t>дминистрации Артемовского городского округа</w:t>
      </w:r>
      <w:r w:rsidR="008E5F52">
        <w:rPr>
          <w:rFonts w:ascii="Times New Roman" w:hAnsi="Times New Roman" w:cs="Times New Roman"/>
          <w:sz w:val="27"/>
          <w:szCs w:val="27"/>
        </w:rPr>
        <w:t xml:space="preserve"> (Бачурина</w:t>
      </w:r>
      <w:r w:rsidR="00267257">
        <w:rPr>
          <w:rFonts w:ascii="Times New Roman" w:hAnsi="Times New Roman" w:cs="Times New Roman"/>
          <w:sz w:val="27"/>
          <w:szCs w:val="27"/>
        </w:rPr>
        <w:t xml:space="preserve"> О.Г.)</w:t>
      </w:r>
      <w:r w:rsidR="007B35B6" w:rsidRPr="00E508A3">
        <w:rPr>
          <w:rFonts w:ascii="Times New Roman" w:hAnsi="Times New Roman" w:cs="Times New Roman"/>
          <w:sz w:val="27"/>
          <w:szCs w:val="27"/>
        </w:rPr>
        <w:t xml:space="preserve"> </w:t>
      </w:r>
      <w:r w:rsidR="008E5F52">
        <w:rPr>
          <w:rFonts w:ascii="Times New Roman" w:hAnsi="Times New Roman" w:cs="Times New Roman"/>
          <w:sz w:val="27"/>
          <w:szCs w:val="27"/>
        </w:rPr>
        <w:t>учесть</w:t>
      </w:r>
      <w:r w:rsidR="007B35B6" w:rsidRPr="00E508A3">
        <w:rPr>
          <w:rFonts w:ascii="Times New Roman" w:hAnsi="Times New Roman" w:cs="Times New Roman"/>
          <w:sz w:val="27"/>
          <w:szCs w:val="27"/>
        </w:rPr>
        <w:t xml:space="preserve"> </w:t>
      </w:r>
      <w:r w:rsidR="002D5E31" w:rsidRPr="00E508A3">
        <w:rPr>
          <w:rFonts w:ascii="Times New Roman" w:hAnsi="Times New Roman" w:cs="Times New Roman"/>
          <w:sz w:val="27"/>
          <w:szCs w:val="27"/>
        </w:rPr>
        <w:t>п</w:t>
      </w:r>
      <w:r w:rsidR="007B35B6" w:rsidRPr="00E508A3">
        <w:rPr>
          <w:rFonts w:ascii="Times New Roman" w:hAnsi="Times New Roman" w:cs="Times New Roman"/>
          <w:sz w:val="27"/>
          <w:szCs w:val="27"/>
        </w:rPr>
        <w:t>рогноз социально-экономического развития Артемовского городского округа на 201</w:t>
      </w:r>
      <w:r w:rsidR="002E4A2B" w:rsidRPr="00E508A3">
        <w:rPr>
          <w:rFonts w:ascii="Times New Roman" w:hAnsi="Times New Roman" w:cs="Times New Roman"/>
          <w:sz w:val="27"/>
          <w:szCs w:val="27"/>
        </w:rPr>
        <w:t>7</w:t>
      </w:r>
      <w:r w:rsidR="00BB3FCD" w:rsidRPr="00E508A3">
        <w:rPr>
          <w:rFonts w:ascii="Times New Roman" w:hAnsi="Times New Roman" w:cs="Times New Roman"/>
          <w:sz w:val="27"/>
          <w:szCs w:val="27"/>
        </w:rPr>
        <w:t xml:space="preserve"> год и плановый период 201</w:t>
      </w:r>
      <w:r w:rsidR="002E4A2B" w:rsidRPr="00E508A3">
        <w:rPr>
          <w:rFonts w:ascii="Times New Roman" w:hAnsi="Times New Roman" w:cs="Times New Roman"/>
          <w:sz w:val="27"/>
          <w:szCs w:val="27"/>
        </w:rPr>
        <w:t>8</w:t>
      </w:r>
      <w:r w:rsidR="00BB3FCD" w:rsidRPr="00E508A3">
        <w:rPr>
          <w:rFonts w:ascii="Times New Roman" w:hAnsi="Times New Roman" w:cs="Times New Roman"/>
          <w:sz w:val="27"/>
          <w:szCs w:val="27"/>
        </w:rPr>
        <w:t xml:space="preserve"> и </w:t>
      </w:r>
      <w:r w:rsidR="007B35B6" w:rsidRPr="00E508A3">
        <w:rPr>
          <w:rFonts w:ascii="Times New Roman" w:hAnsi="Times New Roman" w:cs="Times New Roman"/>
          <w:sz w:val="27"/>
          <w:szCs w:val="27"/>
        </w:rPr>
        <w:t>201</w:t>
      </w:r>
      <w:r w:rsidR="002E4A2B" w:rsidRPr="00E508A3">
        <w:rPr>
          <w:rFonts w:ascii="Times New Roman" w:hAnsi="Times New Roman" w:cs="Times New Roman"/>
          <w:sz w:val="27"/>
          <w:szCs w:val="27"/>
        </w:rPr>
        <w:t>9</w:t>
      </w:r>
      <w:r w:rsidR="007B35B6" w:rsidRPr="00E508A3">
        <w:rPr>
          <w:rFonts w:ascii="Times New Roman" w:hAnsi="Times New Roman" w:cs="Times New Roman"/>
          <w:sz w:val="27"/>
          <w:szCs w:val="27"/>
        </w:rPr>
        <w:t xml:space="preserve"> год</w:t>
      </w:r>
      <w:r w:rsidR="00BB3FCD" w:rsidRPr="00E508A3">
        <w:rPr>
          <w:rFonts w:ascii="Times New Roman" w:hAnsi="Times New Roman" w:cs="Times New Roman"/>
          <w:sz w:val="27"/>
          <w:szCs w:val="27"/>
        </w:rPr>
        <w:t>ов</w:t>
      </w:r>
      <w:r w:rsidR="007B35B6" w:rsidRPr="00E508A3">
        <w:rPr>
          <w:rFonts w:ascii="Times New Roman" w:hAnsi="Times New Roman" w:cs="Times New Roman"/>
          <w:sz w:val="27"/>
          <w:szCs w:val="27"/>
        </w:rPr>
        <w:t xml:space="preserve"> при формировании проекта бюджета Артемовского городского округа на 201</w:t>
      </w:r>
      <w:r w:rsidR="002E4A2B" w:rsidRPr="00E508A3">
        <w:rPr>
          <w:rFonts w:ascii="Times New Roman" w:hAnsi="Times New Roman" w:cs="Times New Roman"/>
          <w:sz w:val="27"/>
          <w:szCs w:val="27"/>
        </w:rPr>
        <w:t>7</w:t>
      </w:r>
      <w:r w:rsidR="007B35B6" w:rsidRPr="00E508A3">
        <w:rPr>
          <w:rFonts w:ascii="Times New Roman" w:hAnsi="Times New Roman" w:cs="Times New Roman"/>
          <w:sz w:val="27"/>
          <w:szCs w:val="27"/>
        </w:rPr>
        <w:t xml:space="preserve"> год</w:t>
      </w:r>
      <w:r w:rsidR="006A4331" w:rsidRPr="00E508A3">
        <w:rPr>
          <w:rFonts w:ascii="Times New Roman" w:hAnsi="Times New Roman" w:cs="Times New Roman"/>
          <w:sz w:val="27"/>
          <w:szCs w:val="27"/>
        </w:rPr>
        <w:t xml:space="preserve"> и плановый период 201</w:t>
      </w:r>
      <w:r w:rsidR="002E4A2B" w:rsidRPr="00E508A3">
        <w:rPr>
          <w:rFonts w:ascii="Times New Roman" w:hAnsi="Times New Roman" w:cs="Times New Roman"/>
          <w:sz w:val="27"/>
          <w:szCs w:val="27"/>
        </w:rPr>
        <w:t>8</w:t>
      </w:r>
      <w:r w:rsidR="006A4331" w:rsidRPr="00E508A3">
        <w:rPr>
          <w:rFonts w:ascii="Times New Roman" w:hAnsi="Times New Roman" w:cs="Times New Roman"/>
          <w:sz w:val="27"/>
          <w:szCs w:val="27"/>
        </w:rPr>
        <w:t xml:space="preserve"> и 201</w:t>
      </w:r>
      <w:r w:rsidR="002E4A2B" w:rsidRPr="00E508A3">
        <w:rPr>
          <w:rFonts w:ascii="Times New Roman" w:hAnsi="Times New Roman" w:cs="Times New Roman"/>
          <w:sz w:val="27"/>
          <w:szCs w:val="27"/>
        </w:rPr>
        <w:t>9</w:t>
      </w:r>
      <w:r w:rsidR="006A4331" w:rsidRPr="00E508A3">
        <w:rPr>
          <w:rFonts w:ascii="Times New Roman" w:hAnsi="Times New Roman" w:cs="Times New Roman"/>
          <w:sz w:val="27"/>
          <w:szCs w:val="27"/>
        </w:rPr>
        <w:t xml:space="preserve"> годов</w:t>
      </w:r>
      <w:r w:rsidR="007B35B6" w:rsidRPr="00E508A3">
        <w:rPr>
          <w:rFonts w:ascii="Times New Roman" w:hAnsi="Times New Roman" w:cs="Times New Roman"/>
          <w:sz w:val="27"/>
          <w:szCs w:val="27"/>
        </w:rPr>
        <w:t xml:space="preserve">. </w:t>
      </w:r>
    </w:p>
    <w:p w:rsidR="007B35B6" w:rsidRPr="00E508A3" w:rsidRDefault="007B35B6" w:rsidP="00E96447">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3.</w:t>
      </w:r>
      <w:r w:rsidR="00266278" w:rsidRPr="00E508A3">
        <w:rPr>
          <w:rFonts w:ascii="Times New Roman" w:hAnsi="Times New Roman" w:cs="Times New Roman"/>
          <w:sz w:val="27"/>
          <w:szCs w:val="27"/>
        </w:rPr>
        <w:t> </w:t>
      </w:r>
      <w:r w:rsidRPr="00E508A3">
        <w:rPr>
          <w:rFonts w:ascii="Times New Roman" w:hAnsi="Times New Roman" w:cs="Times New Roman"/>
          <w:sz w:val="27"/>
          <w:szCs w:val="27"/>
        </w:rPr>
        <w:t xml:space="preserve">Признать утратившим силу постановление Администрации Артемовского городского округа от </w:t>
      </w:r>
      <w:r w:rsidR="002E4A2B" w:rsidRPr="00E508A3">
        <w:rPr>
          <w:rFonts w:ascii="Times New Roman" w:hAnsi="Times New Roman" w:cs="Times New Roman"/>
          <w:sz w:val="27"/>
          <w:szCs w:val="27"/>
        </w:rPr>
        <w:t>14</w:t>
      </w:r>
      <w:r w:rsidR="00E96447" w:rsidRPr="00E508A3">
        <w:rPr>
          <w:rFonts w:ascii="Times New Roman" w:hAnsi="Times New Roman" w:cs="Times New Roman"/>
          <w:sz w:val="27"/>
          <w:szCs w:val="27"/>
        </w:rPr>
        <w:t>.1</w:t>
      </w:r>
      <w:r w:rsidR="002E4A2B" w:rsidRPr="00E508A3">
        <w:rPr>
          <w:rFonts w:ascii="Times New Roman" w:hAnsi="Times New Roman" w:cs="Times New Roman"/>
          <w:sz w:val="27"/>
          <w:szCs w:val="27"/>
        </w:rPr>
        <w:t>0</w:t>
      </w:r>
      <w:r w:rsidR="00E96447" w:rsidRPr="00E508A3">
        <w:rPr>
          <w:rFonts w:ascii="Times New Roman" w:hAnsi="Times New Roman" w:cs="Times New Roman"/>
          <w:sz w:val="27"/>
          <w:szCs w:val="27"/>
        </w:rPr>
        <w:t>.201</w:t>
      </w:r>
      <w:r w:rsidR="002E4A2B" w:rsidRPr="00E508A3">
        <w:rPr>
          <w:rFonts w:ascii="Times New Roman" w:hAnsi="Times New Roman" w:cs="Times New Roman"/>
          <w:sz w:val="27"/>
          <w:szCs w:val="27"/>
        </w:rPr>
        <w:t>5</w:t>
      </w:r>
      <w:r w:rsidR="00425256" w:rsidRPr="00E508A3">
        <w:rPr>
          <w:rFonts w:ascii="Times New Roman" w:hAnsi="Times New Roman" w:cs="Times New Roman"/>
          <w:sz w:val="27"/>
          <w:szCs w:val="27"/>
        </w:rPr>
        <w:t xml:space="preserve"> №</w:t>
      </w:r>
      <w:r w:rsidR="000C5179" w:rsidRPr="00E508A3">
        <w:rPr>
          <w:rFonts w:ascii="Times New Roman" w:hAnsi="Times New Roman" w:cs="Times New Roman"/>
          <w:sz w:val="27"/>
          <w:szCs w:val="27"/>
        </w:rPr>
        <w:t xml:space="preserve"> </w:t>
      </w:r>
      <w:r w:rsidR="00425256" w:rsidRPr="00E508A3">
        <w:rPr>
          <w:rFonts w:ascii="Times New Roman" w:hAnsi="Times New Roman" w:cs="Times New Roman"/>
          <w:sz w:val="27"/>
          <w:szCs w:val="27"/>
        </w:rPr>
        <w:t>1</w:t>
      </w:r>
      <w:r w:rsidR="002E4A2B" w:rsidRPr="00E508A3">
        <w:rPr>
          <w:rFonts w:ascii="Times New Roman" w:hAnsi="Times New Roman" w:cs="Times New Roman"/>
          <w:sz w:val="27"/>
          <w:szCs w:val="27"/>
        </w:rPr>
        <w:t>393</w:t>
      </w:r>
      <w:r w:rsidRPr="00E508A3">
        <w:rPr>
          <w:rFonts w:ascii="Times New Roman" w:hAnsi="Times New Roman" w:cs="Times New Roman"/>
          <w:sz w:val="27"/>
          <w:szCs w:val="27"/>
        </w:rPr>
        <w:t xml:space="preserve">-ПА «О прогнозе социально-экономического развития Артемовского городского округа на </w:t>
      </w:r>
      <w:r w:rsidR="00E96447" w:rsidRPr="00E508A3">
        <w:rPr>
          <w:rFonts w:ascii="Times New Roman" w:hAnsi="Times New Roman" w:cs="Times New Roman"/>
          <w:sz w:val="27"/>
          <w:szCs w:val="27"/>
        </w:rPr>
        <w:t>201</w:t>
      </w:r>
      <w:r w:rsidR="002E4A2B" w:rsidRPr="00E508A3">
        <w:rPr>
          <w:rFonts w:ascii="Times New Roman" w:hAnsi="Times New Roman" w:cs="Times New Roman"/>
          <w:sz w:val="27"/>
          <w:szCs w:val="27"/>
        </w:rPr>
        <w:t>6</w:t>
      </w:r>
      <w:r w:rsidR="00E96447" w:rsidRPr="00E508A3">
        <w:rPr>
          <w:rFonts w:ascii="Times New Roman" w:hAnsi="Times New Roman" w:cs="Times New Roman"/>
          <w:sz w:val="27"/>
          <w:szCs w:val="27"/>
        </w:rPr>
        <w:t xml:space="preserve"> год и плановый период 201</w:t>
      </w:r>
      <w:r w:rsidR="002E4A2B" w:rsidRPr="00E508A3">
        <w:rPr>
          <w:rFonts w:ascii="Times New Roman" w:hAnsi="Times New Roman" w:cs="Times New Roman"/>
          <w:sz w:val="27"/>
          <w:szCs w:val="27"/>
        </w:rPr>
        <w:t>7</w:t>
      </w:r>
      <w:r w:rsidR="00E96447" w:rsidRPr="00E508A3">
        <w:rPr>
          <w:rFonts w:ascii="Times New Roman" w:hAnsi="Times New Roman" w:cs="Times New Roman"/>
          <w:sz w:val="27"/>
          <w:szCs w:val="27"/>
        </w:rPr>
        <w:t xml:space="preserve"> и 201</w:t>
      </w:r>
      <w:r w:rsidR="002E4A2B" w:rsidRPr="00E508A3">
        <w:rPr>
          <w:rFonts w:ascii="Times New Roman" w:hAnsi="Times New Roman" w:cs="Times New Roman"/>
          <w:sz w:val="27"/>
          <w:szCs w:val="27"/>
        </w:rPr>
        <w:t>8</w:t>
      </w:r>
      <w:r w:rsidR="00E96447" w:rsidRPr="00E508A3">
        <w:rPr>
          <w:rFonts w:ascii="Times New Roman" w:hAnsi="Times New Roman" w:cs="Times New Roman"/>
          <w:sz w:val="27"/>
          <w:szCs w:val="27"/>
        </w:rPr>
        <w:t xml:space="preserve"> годов</w:t>
      </w:r>
      <w:r w:rsidRPr="00E508A3">
        <w:rPr>
          <w:rFonts w:ascii="Times New Roman" w:hAnsi="Times New Roman" w:cs="Times New Roman"/>
          <w:sz w:val="27"/>
          <w:szCs w:val="27"/>
        </w:rPr>
        <w:t>».</w:t>
      </w:r>
    </w:p>
    <w:p w:rsidR="007B35B6" w:rsidRPr="00E508A3" w:rsidRDefault="007B35B6"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4.</w:t>
      </w:r>
      <w:r w:rsidR="00266278" w:rsidRPr="00E508A3">
        <w:rPr>
          <w:rFonts w:ascii="Times New Roman" w:hAnsi="Times New Roman" w:cs="Times New Roman"/>
          <w:sz w:val="27"/>
          <w:szCs w:val="27"/>
        </w:rPr>
        <w:t> </w:t>
      </w:r>
      <w:r w:rsidRPr="00E508A3">
        <w:rPr>
          <w:rFonts w:ascii="Times New Roman" w:hAnsi="Times New Roman" w:cs="Times New Roman"/>
          <w:sz w:val="27"/>
          <w:szCs w:val="27"/>
        </w:rPr>
        <w:t xml:space="preserve">Постановление опубликовать в газете «Артемовский рабочий» и разместить на официальном сайте Артемовского городского округа в </w:t>
      </w:r>
      <w:r w:rsidR="00085721" w:rsidRPr="00E508A3">
        <w:rPr>
          <w:rFonts w:ascii="Times New Roman" w:hAnsi="Times New Roman" w:cs="Times New Roman"/>
          <w:sz w:val="27"/>
          <w:szCs w:val="27"/>
        </w:rPr>
        <w:t>информационно-телекомму</w:t>
      </w:r>
      <w:r w:rsidR="00C17538" w:rsidRPr="00E508A3">
        <w:rPr>
          <w:rFonts w:ascii="Times New Roman" w:hAnsi="Times New Roman" w:cs="Times New Roman"/>
          <w:sz w:val="27"/>
          <w:szCs w:val="27"/>
        </w:rPr>
        <w:t>ни</w:t>
      </w:r>
      <w:r w:rsidR="00085721" w:rsidRPr="00E508A3">
        <w:rPr>
          <w:rFonts w:ascii="Times New Roman" w:hAnsi="Times New Roman" w:cs="Times New Roman"/>
          <w:sz w:val="27"/>
          <w:szCs w:val="27"/>
        </w:rPr>
        <w:t xml:space="preserve">кационной </w:t>
      </w:r>
      <w:r w:rsidRPr="00E508A3">
        <w:rPr>
          <w:rFonts w:ascii="Times New Roman" w:hAnsi="Times New Roman" w:cs="Times New Roman"/>
          <w:sz w:val="27"/>
          <w:szCs w:val="27"/>
        </w:rPr>
        <w:t xml:space="preserve">сети </w:t>
      </w:r>
      <w:r w:rsidR="00600588" w:rsidRPr="00E508A3">
        <w:rPr>
          <w:rFonts w:ascii="Times New Roman" w:hAnsi="Times New Roman" w:cs="Times New Roman"/>
          <w:sz w:val="27"/>
          <w:szCs w:val="27"/>
        </w:rPr>
        <w:t>«</w:t>
      </w:r>
      <w:r w:rsidRPr="00E508A3">
        <w:rPr>
          <w:rFonts w:ascii="Times New Roman" w:hAnsi="Times New Roman" w:cs="Times New Roman"/>
          <w:sz w:val="27"/>
          <w:szCs w:val="27"/>
        </w:rPr>
        <w:t>Интернет</w:t>
      </w:r>
      <w:r w:rsidR="00600588" w:rsidRPr="00E508A3">
        <w:rPr>
          <w:rFonts w:ascii="Times New Roman" w:hAnsi="Times New Roman" w:cs="Times New Roman"/>
          <w:sz w:val="27"/>
          <w:szCs w:val="27"/>
        </w:rPr>
        <w:t>»</w:t>
      </w:r>
      <w:r w:rsidRPr="00E508A3">
        <w:rPr>
          <w:rFonts w:ascii="Times New Roman" w:hAnsi="Times New Roman" w:cs="Times New Roman"/>
          <w:sz w:val="27"/>
          <w:szCs w:val="27"/>
        </w:rPr>
        <w:t>.</w:t>
      </w:r>
    </w:p>
    <w:p w:rsidR="007B35B6" w:rsidRPr="00E508A3" w:rsidRDefault="007B35B6"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5.</w:t>
      </w:r>
      <w:r w:rsidR="00266278" w:rsidRPr="00E508A3">
        <w:rPr>
          <w:rFonts w:ascii="Times New Roman" w:hAnsi="Times New Roman" w:cs="Times New Roman"/>
          <w:sz w:val="27"/>
          <w:szCs w:val="27"/>
        </w:rPr>
        <w:t> </w:t>
      </w:r>
      <w:r w:rsidRPr="00E508A3">
        <w:rPr>
          <w:rFonts w:ascii="Times New Roman" w:hAnsi="Times New Roman" w:cs="Times New Roman"/>
          <w:sz w:val="27"/>
          <w:szCs w:val="27"/>
        </w:rPr>
        <w:t xml:space="preserve">Контроль за </w:t>
      </w:r>
      <w:r w:rsidR="00A5052F" w:rsidRPr="00E508A3">
        <w:rPr>
          <w:rFonts w:ascii="Times New Roman" w:hAnsi="Times New Roman" w:cs="Times New Roman"/>
          <w:sz w:val="27"/>
          <w:szCs w:val="27"/>
        </w:rPr>
        <w:t>ис</w:t>
      </w:r>
      <w:r w:rsidRPr="00E508A3">
        <w:rPr>
          <w:rFonts w:ascii="Times New Roman" w:hAnsi="Times New Roman" w:cs="Times New Roman"/>
          <w:sz w:val="27"/>
          <w:szCs w:val="27"/>
        </w:rPr>
        <w:t>полнением постановления оставляю за собой.</w:t>
      </w:r>
    </w:p>
    <w:p w:rsidR="00773CAC" w:rsidRDefault="00773CAC" w:rsidP="00CF190D">
      <w:pPr>
        <w:pStyle w:val="a5"/>
        <w:jc w:val="both"/>
        <w:rPr>
          <w:rFonts w:ascii="Times New Roman" w:hAnsi="Times New Roman" w:cs="Times New Roman"/>
          <w:sz w:val="27"/>
          <w:szCs w:val="27"/>
        </w:rPr>
      </w:pPr>
    </w:p>
    <w:p w:rsidR="00E508A3" w:rsidRPr="00E508A3" w:rsidRDefault="00E508A3" w:rsidP="00CF190D">
      <w:pPr>
        <w:pStyle w:val="a5"/>
        <w:jc w:val="both"/>
        <w:rPr>
          <w:rFonts w:ascii="Times New Roman" w:hAnsi="Times New Roman" w:cs="Times New Roman"/>
          <w:sz w:val="27"/>
          <w:szCs w:val="27"/>
        </w:rPr>
      </w:pPr>
    </w:p>
    <w:p w:rsidR="007B35B6" w:rsidRPr="00E508A3" w:rsidRDefault="00E508A3" w:rsidP="00CF190D">
      <w:pPr>
        <w:pStyle w:val="a5"/>
        <w:jc w:val="both"/>
        <w:rPr>
          <w:rFonts w:ascii="Times New Roman" w:hAnsi="Times New Roman" w:cs="Times New Roman"/>
          <w:sz w:val="27"/>
          <w:szCs w:val="27"/>
        </w:rPr>
      </w:pPr>
      <w:r w:rsidRPr="00E508A3">
        <w:rPr>
          <w:rFonts w:ascii="Times New Roman" w:hAnsi="Times New Roman" w:cs="Times New Roman"/>
          <w:sz w:val="27"/>
          <w:szCs w:val="27"/>
        </w:rPr>
        <w:t>Первый заместитель г</w:t>
      </w:r>
      <w:r w:rsidR="007B35B6" w:rsidRPr="00E508A3">
        <w:rPr>
          <w:rFonts w:ascii="Times New Roman" w:hAnsi="Times New Roman" w:cs="Times New Roman"/>
          <w:sz w:val="27"/>
          <w:szCs w:val="27"/>
        </w:rPr>
        <w:t>лав</w:t>
      </w:r>
      <w:r w:rsidR="00411C1F">
        <w:rPr>
          <w:rFonts w:ascii="Times New Roman" w:hAnsi="Times New Roman" w:cs="Times New Roman"/>
          <w:sz w:val="27"/>
          <w:szCs w:val="27"/>
        </w:rPr>
        <w:t>ы</w:t>
      </w:r>
      <w:r w:rsidR="007B35B6" w:rsidRPr="00E508A3">
        <w:rPr>
          <w:rFonts w:ascii="Times New Roman" w:hAnsi="Times New Roman" w:cs="Times New Roman"/>
          <w:sz w:val="27"/>
          <w:szCs w:val="27"/>
        </w:rPr>
        <w:t xml:space="preserve"> Администрации</w:t>
      </w:r>
    </w:p>
    <w:p w:rsidR="00E508A3" w:rsidRPr="00E508A3" w:rsidRDefault="007B35B6" w:rsidP="00E508A3">
      <w:pPr>
        <w:pStyle w:val="a5"/>
        <w:jc w:val="both"/>
        <w:rPr>
          <w:rFonts w:ascii="Times New Roman" w:hAnsi="Times New Roman" w:cs="Times New Roman"/>
          <w:sz w:val="27"/>
          <w:szCs w:val="27"/>
        </w:rPr>
      </w:pPr>
      <w:r w:rsidRPr="00E508A3">
        <w:rPr>
          <w:rFonts w:ascii="Times New Roman" w:hAnsi="Times New Roman" w:cs="Times New Roman"/>
          <w:sz w:val="27"/>
          <w:szCs w:val="27"/>
        </w:rPr>
        <w:t>Артемовского городского округа</w:t>
      </w:r>
      <w:r w:rsidR="00E508A3" w:rsidRPr="00E508A3">
        <w:rPr>
          <w:rFonts w:ascii="Times New Roman" w:hAnsi="Times New Roman" w:cs="Times New Roman"/>
          <w:sz w:val="27"/>
          <w:szCs w:val="27"/>
        </w:rPr>
        <w:t xml:space="preserve">, </w:t>
      </w:r>
    </w:p>
    <w:p w:rsidR="00E508A3" w:rsidRPr="00E508A3" w:rsidRDefault="00E508A3" w:rsidP="00E508A3">
      <w:pPr>
        <w:pStyle w:val="a5"/>
        <w:jc w:val="both"/>
        <w:rPr>
          <w:rFonts w:ascii="Times New Roman" w:hAnsi="Times New Roman" w:cs="Times New Roman"/>
          <w:sz w:val="27"/>
          <w:szCs w:val="27"/>
        </w:rPr>
      </w:pPr>
      <w:r w:rsidRPr="00E508A3">
        <w:rPr>
          <w:rFonts w:ascii="Times New Roman" w:hAnsi="Times New Roman" w:cs="Times New Roman"/>
          <w:sz w:val="27"/>
          <w:szCs w:val="27"/>
        </w:rPr>
        <w:t xml:space="preserve">исполняющий полномочия главы </w:t>
      </w:r>
    </w:p>
    <w:p w:rsidR="007B35B6" w:rsidRDefault="00E508A3" w:rsidP="00E508A3">
      <w:pPr>
        <w:pStyle w:val="a5"/>
        <w:jc w:val="both"/>
        <w:rPr>
          <w:rFonts w:ascii="Times New Roman" w:hAnsi="Times New Roman" w:cs="Times New Roman"/>
          <w:sz w:val="27"/>
          <w:szCs w:val="27"/>
        </w:rPr>
      </w:pPr>
      <w:r w:rsidRPr="00E508A3">
        <w:rPr>
          <w:rFonts w:ascii="Times New Roman" w:hAnsi="Times New Roman" w:cs="Times New Roman"/>
          <w:sz w:val="27"/>
          <w:szCs w:val="27"/>
        </w:rPr>
        <w:t>Администрации Артемовского городского округа</w:t>
      </w:r>
      <w:r w:rsidR="007B35B6" w:rsidRPr="00E508A3">
        <w:rPr>
          <w:rFonts w:ascii="Times New Roman" w:hAnsi="Times New Roman" w:cs="Times New Roman"/>
          <w:sz w:val="27"/>
          <w:szCs w:val="27"/>
        </w:rPr>
        <w:tab/>
      </w:r>
      <w:r w:rsidR="00773CAC" w:rsidRPr="00E508A3">
        <w:rPr>
          <w:rFonts w:ascii="Times New Roman" w:hAnsi="Times New Roman" w:cs="Times New Roman"/>
          <w:sz w:val="27"/>
          <w:szCs w:val="27"/>
        </w:rPr>
        <w:t xml:space="preserve"> </w:t>
      </w:r>
      <w:r w:rsidR="00ED676B" w:rsidRPr="00E508A3">
        <w:rPr>
          <w:rFonts w:ascii="Times New Roman" w:hAnsi="Times New Roman" w:cs="Times New Roman"/>
          <w:sz w:val="27"/>
          <w:szCs w:val="27"/>
        </w:rPr>
        <w:t xml:space="preserve">   </w:t>
      </w:r>
      <w:r>
        <w:rPr>
          <w:rFonts w:ascii="Times New Roman" w:hAnsi="Times New Roman" w:cs="Times New Roman"/>
          <w:sz w:val="27"/>
          <w:szCs w:val="27"/>
        </w:rPr>
        <w:t xml:space="preserve">    </w:t>
      </w:r>
      <w:r w:rsidR="00ED676B" w:rsidRPr="00E508A3">
        <w:rPr>
          <w:rFonts w:ascii="Times New Roman" w:hAnsi="Times New Roman" w:cs="Times New Roman"/>
          <w:sz w:val="27"/>
          <w:szCs w:val="27"/>
        </w:rPr>
        <w:t xml:space="preserve">    </w:t>
      </w:r>
      <w:r w:rsidR="00773CAC" w:rsidRPr="00E508A3">
        <w:rPr>
          <w:rFonts w:ascii="Times New Roman" w:hAnsi="Times New Roman" w:cs="Times New Roman"/>
          <w:sz w:val="27"/>
          <w:szCs w:val="27"/>
        </w:rPr>
        <w:t xml:space="preserve">        </w:t>
      </w:r>
      <w:r w:rsidRPr="00E508A3">
        <w:rPr>
          <w:rFonts w:ascii="Times New Roman" w:hAnsi="Times New Roman" w:cs="Times New Roman"/>
          <w:sz w:val="27"/>
          <w:szCs w:val="27"/>
        </w:rPr>
        <w:t>А.С. Иванов</w:t>
      </w:r>
    </w:p>
    <w:p w:rsidR="0037367D" w:rsidRPr="0037367D" w:rsidRDefault="00DA0BF7" w:rsidP="0037367D">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7367D" w:rsidRPr="0037367D">
        <w:rPr>
          <w:rFonts w:ascii="Times New Roman" w:eastAsia="Times New Roman" w:hAnsi="Times New Roman" w:cs="Times New Roman"/>
          <w:sz w:val="28"/>
          <w:szCs w:val="28"/>
          <w:lang w:eastAsia="ru-RU"/>
        </w:rPr>
        <w:t xml:space="preserve">Приложение </w:t>
      </w:r>
    </w:p>
    <w:p w:rsidR="0037367D" w:rsidRPr="0037367D" w:rsidRDefault="0037367D" w:rsidP="0037367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к постановлению Администрации </w:t>
      </w:r>
    </w:p>
    <w:p w:rsidR="0037367D" w:rsidRPr="0037367D" w:rsidRDefault="0037367D" w:rsidP="0037367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Артемовского городского округа </w:t>
      </w:r>
    </w:p>
    <w:p w:rsidR="0037367D" w:rsidRPr="0037367D" w:rsidRDefault="0037367D" w:rsidP="0037367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18.10.2016 </w:t>
      </w:r>
      <w:r w:rsidRPr="003736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1155-ПА</w:t>
      </w:r>
    </w:p>
    <w:p w:rsidR="0037367D" w:rsidRPr="0037367D" w:rsidRDefault="0037367D" w:rsidP="003736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7367D" w:rsidRPr="0037367D" w:rsidRDefault="0037367D" w:rsidP="003736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7367D" w:rsidRPr="0037367D" w:rsidRDefault="0037367D" w:rsidP="00373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367D" w:rsidRPr="0037367D" w:rsidRDefault="0037367D" w:rsidP="00373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Прогноз социально - экономического развития</w:t>
      </w:r>
      <w:r w:rsidRPr="0037367D">
        <w:rPr>
          <w:rFonts w:ascii="Times New Roman" w:eastAsia="Times New Roman" w:hAnsi="Times New Roman" w:cs="Times New Roman"/>
          <w:b/>
          <w:sz w:val="28"/>
          <w:szCs w:val="28"/>
          <w:lang w:eastAsia="ru-RU"/>
        </w:rPr>
        <w:br/>
        <w:t>Артемовского городского округа на 2017 год</w:t>
      </w:r>
    </w:p>
    <w:p w:rsidR="0037367D" w:rsidRPr="0037367D" w:rsidRDefault="0037367D" w:rsidP="00373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и плановый период 2018 и 2019 годов</w:t>
      </w:r>
      <w:r w:rsidRPr="0037367D">
        <w:rPr>
          <w:rFonts w:ascii="Times New Roman" w:eastAsia="Times New Roman" w:hAnsi="Times New Roman" w:cs="Times New Roman"/>
          <w:b/>
          <w:sz w:val="28"/>
          <w:szCs w:val="28"/>
          <w:lang w:eastAsia="ru-RU"/>
        </w:rPr>
        <w:br/>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Прогноз социально-экономического развития Артемовского городского округа на 2017 год и плановый период 2018 и 2019 годов разработан в соответствии с:</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1) Бюджетным Кодексом Российской Федерации;</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2) 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утвержденными постановлением Правительства Российской Федерации от 14.11.2015 № 1234;</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3) Порядком разработки и корректировки прогноза социально-экономического развития Свердловской области на среднесрочный период, утвержденным постановлением Правительства Свердловской области от 02.09.2015 № 800-ПП;</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4) Порядком разработки и корректировки прогноза социально-экономического развития Артемовского городского округа на среднесрочный период, утвержденным постановлением Администрации Артемовского городского округа от 25.07.2016 № 839-ПА.</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Прогноз социально-экономического развития Артемовского городского округа на среднесрочный период 2017–2019 годов сформирован исходя из анализа статистических данных за 2015 год, январь – июнь 2016 года и данных хозяйствующих субъектов, расположенных на территории Артемовского городского округа.</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Прогноз социально-экономического развития Артемовского городского округа составляется в целях:</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мониторинга выполнения задач, определенных в стратегических документах;</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формирования основы для составления проекта бюджета Артемовского городского округа;</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Прогноз социально-экономического развития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 разработанных Министерством экономики Свердловской области</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lastRenderedPageBreak/>
        <w:t>Разработка основных параметров прогноза развития на период 2017-2019 годов осуществлялась по умеренно-оптимистическому варианту, который отражает развитие экономики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p>
    <w:p w:rsidR="0037367D" w:rsidRPr="0037367D" w:rsidRDefault="0037367D" w:rsidP="0037367D">
      <w:pPr>
        <w:spacing w:after="0" w:line="240" w:lineRule="auto"/>
        <w:ind w:firstLine="709"/>
        <w:jc w:val="both"/>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Промышленное производство</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Основу экономики Артемовского городского округа составляют предприятия промышленного производства, поэтому темпы развития промышленности являются определяющими для темпов развития экономики округа в целом.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Основную долю занимают предприятия двух видов экономической деятельности:</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обрабатывающее производство;</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производство и распределение электроэнергии, газа и воды.</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По итогам 2015 года оборот организаций обрабатывающего производства, производства и распределения электроэнергии, газа и воды, не относящихся к субъектам малого предпринимательства, увеличился по сравнению с 2014 годом на 16,8 % и составил 9391,9 млн. рублей. По состоянию на 01.07.2016 в организациях обрабатывающего производства среднесписочная численность работников составила 2310 человек, что ниже значения данного показателя за 2015 год на 5,8 %.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2015 году оборот организаций обрабатывающего производства возрос по сравнению с 2014 годом в действующих ценах на 34,2 %. В 2015 году организации по производству и распределению электроэнергии, газа и воды снизили оборот к уровню 2014 года на 2,3 % в действующих ценах.</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первом полугодии 2016 года оборот организаций обрабатывающего производства возрос по сравнению с аналогичным периодом 2014 года на 7,2 %. По организациям по виду экономической деятельности «Производство и распределение электроэнергии, газа и воды» оборот за 1 полугодие 2016 года вырос на 12,8 % к показателю аналогичного периода 2015 года.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первом полугодии 2016 года по сравнению с первым полугодием 2015 года в организациях по виду экономической деятельности «Обрабатывающее производство» объем отгруженной продукции вырос на 12,3 %, а по виду экономической деятельности «Производство и распределение электроэнергии, газа и воды» - на 12,1 %.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период до 2018 года в организациях промышленного производства Артемовского городского округа ожидается: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ежегодное увеличение оборота организаций обрабатывающего производства в пределах 3,0 - 6,3 %;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ежегодное увеличение оборота организаций по производству и распределению электроэнергии, газа и воды в пределах 0,7 - 1,7 %.</w:t>
      </w:r>
    </w:p>
    <w:p w:rsidR="0037367D" w:rsidRPr="0037367D" w:rsidRDefault="0037367D" w:rsidP="0037367D">
      <w:pPr>
        <w:spacing w:after="0" w:line="240" w:lineRule="auto"/>
        <w:ind w:firstLine="709"/>
        <w:jc w:val="both"/>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Сельское хозяйство</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lastRenderedPageBreak/>
        <w:t>В 2015 году на территории Артемовского городского округа осуществляли деятельность 2 сельскохозяйственные организации: ПСХК «Лебедкинский»,</w:t>
      </w:r>
      <w:r w:rsidRPr="0037367D">
        <w:rPr>
          <w:rFonts w:ascii="Times New Roman" w:eastAsia="Times New Roman" w:hAnsi="Times New Roman" w:cs="Times New Roman"/>
          <w:sz w:val="20"/>
          <w:szCs w:val="20"/>
          <w:lang w:eastAsia="ru-RU"/>
        </w:rPr>
        <w:t xml:space="preserve"> </w:t>
      </w:r>
      <w:r w:rsidRPr="0037367D">
        <w:rPr>
          <w:rFonts w:ascii="Times New Roman" w:eastAsia="Times New Roman" w:hAnsi="Times New Roman" w:cs="Times New Roman"/>
          <w:sz w:val="28"/>
          <w:szCs w:val="28"/>
          <w:lang w:eastAsia="ru-RU"/>
        </w:rPr>
        <w:t>ООО «Племенной завод «Истоки», 11 крестьянских (фермерских) хозяйств и более 11 тысяч семей, имеющих личные подсобные хозяйства. В сельскохозяйственном производстве в 2015 году был занят 661 человек.</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По состоянию на 01.07.2016 на территории Артемовского городского округа производственную деятельность осуществляют 2 сельскохо-зяйственные организации - ПСХК «Лебедкинский», ООО «Племенной завод «Истоки» и 11 крестьянских (фермерских) хозяйств. На предприятиях агропромышленного комплекса трудится 625 человек.</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Основные направления производственной деятельности сельскохозяйственных предприятий Артемовского городского округа: молочно-мясное, производство мяса птицы, возделывание зерновых культур.</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первом полугодии 2016 года сельхозпроизводителями Артемовского городского округа отгружено продукции на 373,4 млн. рублей, что меньше аналогичного показателя прошлого года на 18,2 % (в первом полугодии 2015 года – 451,0 млн. рублей)</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первом полугодии 2016 года отмечается увеличение поголовья: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крупного рогатого скота – на 11,2 %;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свиней – на 153,3 %;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птицы – на 9,5 %.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Сельхозпроизводителями Артемовского городского округа за январь-июнь 2016 года реализовано скота и птицы на убой 3,4 тыс. тонн, что составляет 129,6 % к уровню аналогичного периода 2015 года (2014 год – 2,6 тыс. тонн). Валовый надой молока в первом полугодии 2016 года составил 1,5 тыс. тонн, что составляет 81,3 % к уровню аналогичного периода 2015 года (2015 год – 1,8 тыс. тонн). Отгружено продукции собственного производства 3,4 тыс. тонн, что составляет 127,2 % от уровня аналогичного периода 2015 года (2015 год – 2,7 тыс. тонн).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По данным ТОИОГВ СО Режевского управления агропромышленного комплекса и продовольствия Министерства агропромышленного комплекса и продовольствия Свердловской области в 1 полугодии 2016 года из средств федерального и областного бюджетов для сельхозпроизводителей Артемовского городского округа выделено 8579,5 тыс. рублей, в том числе на развитие животноводства, растениеводства.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Развитие агропромышленного комплекса в растениеводстве происходит за счет эффективного использования земель, а также обновления технического парка. Общая посевная площадь в 2016 году составила 6591 га или 105,0 % к уровню 2015 года, площадь ярового сева составила 5016 га, что выше уровня 2015 года на 243,5 га, зерновые посеяны на площади 4071 га, что выше уровня  2015 года на 373 га. Весной 2016 года проведена подкормка многолетних трав на площади 315 га. С учетом приобретения семян зерновых, зернобобовых культур и рапса было высеяно 1173 тонны семян, из них элитными семенами засеяно 820 га или 20,0 % от общей </w:t>
      </w:r>
      <w:r w:rsidRPr="0037367D">
        <w:rPr>
          <w:rFonts w:ascii="Times New Roman" w:eastAsia="Times New Roman" w:hAnsi="Times New Roman" w:cs="Times New Roman"/>
          <w:sz w:val="28"/>
          <w:szCs w:val="28"/>
          <w:lang w:eastAsia="ru-RU"/>
        </w:rPr>
        <w:lastRenderedPageBreak/>
        <w:t xml:space="preserve">посевной площади, семена высоких репродукций высеяны на площади 906 га, что составляет 22,0 % от общей посевной площади.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Применение в технологическом процессе прогрессивной техники, оборудования обеспечит устойчивый рост урожайности зерновых культур, увеличение объемов производства зерна.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2015 году в целях увеличения выпуска продукции в ПСХК «Лебедкинский» проведен капитальный ремонт корпусов коровников и установлено новое молочное и стойловое оборудование.</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2016 - 2018 годах ожидается среднегодовое увеличение оборотов сельскохозяйственных предприятий на 3,0 % в сопоставимых ценах.</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p>
    <w:p w:rsidR="0037367D" w:rsidRPr="0037367D" w:rsidRDefault="0037367D" w:rsidP="0037367D">
      <w:pPr>
        <w:spacing w:after="0" w:line="240" w:lineRule="auto"/>
        <w:ind w:firstLine="709"/>
        <w:jc w:val="both"/>
        <w:rPr>
          <w:rFonts w:ascii="Times New Roman" w:eastAsia="Times New Roman" w:hAnsi="Times New Roman" w:cs="Times New Roman"/>
          <w:b/>
          <w:bCs/>
          <w:sz w:val="28"/>
          <w:szCs w:val="28"/>
          <w:lang w:eastAsia="ru-RU"/>
        </w:rPr>
      </w:pPr>
      <w:r w:rsidRPr="0037367D">
        <w:rPr>
          <w:rFonts w:ascii="Times New Roman" w:eastAsia="Times New Roman" w:hAnsi="Times New Roman" w:cs="Times New Roman"/>
          <w:b/>
          <w:bCs/>
          <w:sz w:val="28"/>
          <w:szCs w:val="28"/>
          <w:lang w:eastAsia="ru-RU"/>
        </w:rPr>
        <w:t>Инвестиции</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 xml:space="preserve">В 2014-2015 годах неблагоприятные тенденции на сырьевых рынках заставляли крупнейшие российские компании сдвигать инвестиционные планы и, соответственно, снизилась инвестиционная активность организаций Артемовского городского округа. </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 xml:space="preserve">В 2015 году по Артемовскому городскому округу объем инвестиций в основной капитал по кругу организаций, не относящихся к субъектам малого предпринимательства, составил 562,9 млн. рублей. </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В первой половине 2016 года сохраняются достаточно жесткие условия заимствования капитала и неуверенность инвесторов. В условиях предполагаемого сокращения бюджетного финансирования капитальных вложений и достаточно дорогих кредитных ресурсов ожидается структурные изменения источников финансирования инвестиций в сторону собственных средств. При наличии этих факторов ожидается снижение объема инвестиций в 2016 году до 400,0 млн. рублей или на 29,0 % по сравнению с уровнем инвестиций 2015 года.</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 xml:space="preserve">Прогнозируется, что динамика прироста инвестиций перейдет в положительную область с 2017 года и к 2019 году объем инвестиций увеличится на 52,0 % и достигнет объема 900,0 млн. рублей.    </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Одним из факторов восстановления роста инвестиций на территории Артемовского городского округа будет служить развитие обрабатывающего производства и производства сельскохозяйственной продукции при условии реализация уже начатых инвестиционных проектов.</w:t>
      </w:r>
    </w:p>
    <w:p w:rsidR="0037367D" w:rsidRPr="0037367D" w:rsidRDefault="0037367D" w:rsidP="0037367D">
      <w:pPr>
        <w:spacing w:after="0" w:line="240" w:lineRule="auto"/>
        <w:ind w:firstLine="709"/>
        <w:jc w:val="both"/>
        <w:rPr>
          <w:rFonts w:ascii="Times New Roman" w:eastAsia="Times New Roman" w:hAnsi="Times New Roman" w:cs="Times New Roman"/>
          <w:bCs/>
          <w:sz w:val="28"/>
          <w:szCs w:val="28"/>
          <w:lang w:eastAsia="ru-RU"/>
        </w:rPr>
      </w:pPr>
      <w:r w:rsidRPr="0037367D">
        <w:rPr>
          <w:rFonts w:ascii="Times New Roman" w:eastAsia="Times New Roman" w:hAnsi="Times New Roman" w:cs="Times New Roman"/>
          <w:bCs/>
          <w:iCs/>
          <w:sz w:val="28"/>
          <w:szCs w:val="28"/>
          <w:lang w:eastAsia="ru-RU"/>
        </w:rPr>
        <w:t>Финансирование инвестиционных вложений за счет средств бюджета Артемовского городского округа в основном будет осуществляться в рамках реализуемых муниципальных программ. В среднесрочной перспективе предполагается завершить</w:t>
      </w:r>
      <w:r w:rsidRPr="0037367D">
        <w:rPr>
          <w:rFonts w:ascii="Times New Roman" w:eastAsia="Times New Roman" w:hAnsi="Times New Roman" w:cs="Times New Roman"/>
          <w:bCs/>
          <w:sz w:val="28"/>
          <w:szCs w:val="28"/>
          <w:lang w:eastAsia="ru-RU"/>
        </w:rPr>
        <w:t xml:space="preserve"> реконструкцию лыжной базы «Снежинка» и стадиона «Локомотив», построить жилой дом на 30 квартир и продолжить газификацию Артемовского городского округа.</w:t>
      </w:r>
    </w:p>
    <w:p w:rsidR="0037367D" w:rsidRPr="0037367D" w:rsidRDefault="0037367D" w:rsidP="0037367D">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outlineLvl w:val="1"/>
        <w:rPr>
          <w:rFonts w:ascii="Times New Roman" w:eastAsia="Calibri" w:hAnsi="Times New Roman" w:cs="Times New Roman"/>
          <w:b/>
          <w:sz w:val="28"/>
          <w:szCs w:val="28"/>
        </w:rPr>
      </w:pPr>
      <w:r w:rsidRPr="0037367D">
        <w:rPr>
          <w:rFonts w:ascii="Times New Roman" w:eastAsia="Calibri" w:hAnsi="Times New Roman" w:cs="Times New Roman"/>
          <w:b/>
          <w:sz w:val="28"/>
          <w:szCs w:val="28"/>
        </w:rPr>
        <w:t>Потребительский рынок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В 2015 году оборот розничной торговли составил 3870,7 млн. рублей, что на 3,4 % больше по сравнению с 2014 годом – 3743,4 млн. рублей (в </w:t>
      </w:r>
      <w:r w:rsidRPr="0037367D">
        <w:rPr>
          <w:rFonts w:ascii="Times New Roman" w:eastAsia="Calibri" w:hAnsi="Times New Roman" w:cs="Times New Roman"/>
          <w:sz w:val="28"/>
          <w:szCs w:val="28"/>
        </w:rPr>
        <w:lastRenderedPageBreak/>
        <w:t xml:space="preserve">сопоставимых ценах).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условиях сокращения доходов населения будет ограничено текущее потребление. По мере роста реальных располагаемых доходов и реальной заработной платы ожидается постепенный отход населения от сберегательной модели поведения и восстановление потребительской активности.</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2016 году ожидаемый объем розничного товарооборота вырастет на 5,0 % и составит 4064,2 млн. рублей в сопоставимых ценах по сравнению с товарооборотом, который сложился в розничной торговле за 2015 год.</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2017 - 2019 годах прогнозируются среднегодовые темпы увеличения объема розничного товарооборота от 2,5 до 3,0 % в сопоставимой оценке.</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Оборот общественного питания за 2015 год по Артемовскому городскому округу в действующих ценах составил 190,4 млн. рублей, что составляет 106,7 % от уровня соответствующего периода 2014 года. В 2017 - 2019 годах прогнозируются среднегодовые темпы увеличения оборота общественного питания в пределах 2,0 %.</w:t>
      </w:r>
    </w:p>
    <w:p w:rsidR="0037367D" w:rsidRPr="0037367D" w:rsidRDefault="0037367D" w:rsidP="0037367D">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outlineLvl w:val="1"/>
        <w:rPr>
          <w:rFonts w:ascii="Times New Roman" w:eastAsia="Calibri" w:hAnsi="Times New Roman" w:cs="Times New Roman"/>
          <w:b/>
          <w:sz w:val="28"/>
          <w:szCs w:val="28"/>
        </w:rPr>
      </w:pPr>
      <w:r w:rsidRPr="0037367D">
        <w:rPr>
          <w:rFonts w:ascii="Times New Roman" w:eastAsia="Calibri" w:hAnsi="Times New Roman" w:cs="Times New Roman"/>
          <w:b/>
          <w:sz w:val="28"/>
          <w:szCs w:val="28"/>
        </w:rPr>
        <w:t>Демография и рынок труда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На 01.01.2016 число жителей Артемовского городского округа составило 56,8 тыс. человек (уменьшилось за 2015 год на 0,3 тыс.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По итогам 2015 года смертность превысила рождаемость на 19,8 % (родившихся – 833 человек, умерших – 998 человек). Наблюдался высокий показатель смертности трудоспособного населения (в трудоспособном возрасте умерло 24,1 % от общего числа умерших в 2015 году).</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Итоги миграции населения за 2015 год составили: число прибывших 1654 человека, число выбывших 1669 человек, миграционная убыль составила 15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По итогам первого полугодия 2016 года число прибывших составило 923 человека, число выбывших – 778 человек, миграционная прибыль составила 145 человек.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Ожидаемая среднегодовая численность населения Артемовского городского округа в 2016 году – 56,8 тыс.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2017 - 2019 годах прогнозируется снижение темпов естественной и миграционной убыли населения.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Прогнозируемая численность населения, при сохранении существующих тенденций движения населения, к 2019 году – 57,1 тыс.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Численность населения городского округа в трудоспособном возрасте на 01.01.2016 составила 29,2 тыс. человек (51,4 % от общей численности населения).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Численность населения моложе трудоспособного возраста – 11,1 тыс. человек (19,6 % от общей численности населения).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Численность населения старше трудоспособного возраста – 16,5 тыс. человек (29,0 % от общей численности населения округа).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Демографическая ситуация в городском округе характеризуется </w:t>
      </w:r>
      <w:r w:rsidRPr="0037367D">
        <w:rPr>
          <w:rFonts w:ascii="Times New Roman" w:eastAsia="Calibri" w:hAnsi="Times New Roman" w:cs="Times New Roman"/>
          <w:sz w:val="28"/>
          <w:szCs w:val="28"/>
        </w:rPr>
        <w:lastRenderedPageBreak/>
        <w:t>старением населения.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прогнозируемый период 2017 - 2019 годов эта тенденция сохранится.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Среднесписочная численность работников (без внешних совместителей) по полному кругу организаций в 2015 году составила 24941 человек. Прогнозируется, что в 2016 году среднесписочная численность работников по полному кругу организаций составит 20950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В 2015 году общее количество субъектов малого и среднего предпринимательства на территории Артемовского городского округа составило 1417 единиц, а в первом полугодии 2016 года - 1416 единиц.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по итогам за 2015 год составила 12%. Данный показатель не изменился по сравнению с предшествующими периодами и его изменение на плановый период 2017-2019 годы не прогнозируется.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2017 - 2019 годах ожидается сохранение численности занятых в экономике городского округа в пределах 25 тыс. человек ежегодно. Незначительный прирост численности занятых в экономике Артемовского городского округа ожидается в бюджетной сфере за счет увеличения числа образовательных учреждений.</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Уровень регистрируемой безработицы к экономически активному населению на 01.07.2016 составил 2,7 %, что выше на 0,2 % от уровня безработицы по состоянию на 01.01.2016 (уровень безработицы по состоянию на 01.01.2016 - 2,5 %).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период 2017 - 2019 годов на рынке труда прогнозируется сохранение уровня официально регистрируемой безработицы на уровне 3,0 % к экономически активному населению.</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outlineLvl w:val="1"/>
        <w:rPr>
          <w:rFonts w:ascii="Times New Roman" w:eastAsia="Calibri" w:hAnsi="Times New Roman" w:cs="Times New Roman"/>
          <w:b/>
          <w:sz w:val="28"/>
          <w:szCs w:val="28"/>
        </w:rPr>
      </w:pPr>
      <w:r w:rsidRPr="0037367D">
        <w:rPr>
          <w:rFonts w:ascii="Times New Roman" w:eastAsia="Calibri" w:hAnsi="Times New Roman" w:cs="Times New Roman"/>
          <w:b/>
          <w:sz w:val="28"/>
          <w:szCs w:val="28"/>
        </w:rPr>
        <w:t>Денежные доходы населения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Среднемесячная номинальная заработная плата одного работника крупных и средних предприятий в 2015 году составила 27189 рублей, или 105,9 % к уровню 2014 года. В обрабатывающем производстве среднемесячная номинальная заработная плата одного работника в 2015 году составила 22507 рублей в месяц (увеличилась на 11,5 % к уровню 2014 года).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Расчет фонда оплаты труда по городскому округу произведен на основании показателей предприятий, осуществляющих деятельность на территории городского округа, участвующих в прогнозах, и расчетных показателях по оплате труда прочих субъектов предпринимательской деятельности.</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Исходя из динамики развития экономики городского округа, в текущем году были спрогнозированы темпы роста заработной платы работающих в </w:t>
      </w:r>
    </w:p>
    <w:p w:rsidR="0037367D" w:rsidRPr="0037367D" w:rsidRDefault="0037367D" w:rsidP="003736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организациях городского округа на период 2017 - 2019 годов.</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Среднемесячная заработная плата одного работника по крупным и средним организациям по прогнозным оценкам в периоде 2017 - 2019 годах ежегодно будет увеличиваться на 5,0 %.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7367D">
        <w:rPr>
          <w:rFonts w:ascii="Times New Roman" w:eastAsia="Calibri" w:hAnsi="Times New Roman" w:cs="Times New Roman"/>
          <w:sz w:val="28"/>
          <w:szCs w:val="28"/>
        </w:rPr>
        <w:t xml:space="preserve">В расчете денежных доходов населения учтены: заработная плата, </w:t>
      </w:r>
      <w:r w:rsidRPr="0037367D">
        <w:rPr>
          <w:rFonts w:ascii="Times New Roman" w:eastAsia="Calibri" w:hAnsi="Times New Roman" w:cs="Times New Roman"/>
          <w:sz w:val="28"/>
          <w:szCs w:val="28"/>
        </w:rPr>
        <w:lastRenderedPageBreak/>
        <w:t>социальные выплаты, доходы от предпринимательской деятельности, собственности и другие денежные доходы населения.</w:t>
      </w:r>
      <w:r w:rsidRPr="0037367D">
        <w:rPr>
          <w:rFonts w:ascii="Times New Roman" w:eastAsia="Times New Roman" w:hAnsi="Times New Roman" w:cs="Times New Roman"/>
          <w:sz w:val="20"/>
          <w:szCs w:val="20"/>
          <w:lang w:eastAsia="ru-RU"/>
        </w:rPr>
        <w:t xml:space="preserve">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2016 году по оценочным расчетным данным среднедушевые денежные доходы населения уменьшатся по сравнению с 2015 годом на 2,9 %. Прогнозируется в 2017 году снижение среднедушевых денежных доходов населения на 0,3 % по сравнению со значением данного показателя за 2016 год. Снижение показателя связано, в том числе, с прогнозируемым увеличением численности населения с денежными доходами ниже величины прожиточного минимума.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дальнейшем периоде прогнозируется увеличение доходов населения Артемовского городского округа с 1,0 % в 2018 году до 2,7 % в 2019 году.</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К 2019 году прогнозируется снижение численности населения с денежными доходами ниже прожиточного минимума до 14,7 % к численности населения Артемовского городского округа.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outlineLvl w:val="1"/>
        <w:rPr>
          <w:rFonts w:ascii="Times New Roman" w:eastAsia="Calibri" w:hAnsi="Times New Roman" w:cs="Times New Roman"/>
          <w:b/>
          <w:sz w:val="28"/>
          <w:szCs w:val="28"/>
        </w:rPr>
      </w:pPr>
      <w:r w:rsidRPr="0037367D">
        <w:rPr>
          <w:rFonts w:ascii="Times New Roman" w:eastAsia="Calibri" w:hAnsi="Times New Roman" w:cs="Times New Roman"/>
          <w:b/>
          <w:sz w:val="28"/>
          <w:szCs w:val="28"/>
        </w:rPr>
        <w:t>Финансы</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Формирование бюджета Артемовского городского округа на 2017 год и плановый период 2018-2019 годов должно осуществляться на основе умеренных прогнозных оценок развития экономики, с учетом возможности сокращения ранее прогнозируемых доходов.</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Одной из основных задач бюджетного планирования остается сдерживание роста долговых обязательств Артемовского городского округа, взвешенный подход к предоставлению муниципальных гарантий, формированию дефицита бюджета Артемовского городского округа. Основополагающей целью формирования бюджетной политики является решение экономических и социальных задач, стоящих перед муниципалитетом. Бюджетная политика на 2017-2019 годы не изменится и будет направлена на обеспечение устойчивого социально-экономического развития муниципального образования и решение важнейших социально-экономических задач:</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повышение уровня и качества жизни граждан;</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создание условий для привлечения инвестиций в экономику Артемовского городского округа в объеме, необходимом для решения задач социально-экономического развития;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обеспечение эффективности и прозрачности муниципального управления;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обеспечение благоприятных условий для развития бизнеса в Артемовском городском округе;</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повышение доступности и качества муниципальных услуг.</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Прогноз сальдированного финансового результата деятельности по полному кругу предприятий городского округа рассчитан по достигнутым показателям производственно-хозяйственной деятельности и ожидаемых показателей.</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2016 году ожидаемая прибыль прибыльных предприятий увеличится на 4,9 % по сравнению с 2015 годом.</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lastRenderedPageBreak/>
        <w:t>В среднесрочный период прогнозируется: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в 2017 году - увеличение прибыли прибыльных предприятий по сравнению с ожидаемой в 2016 году на 4,9 %;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в 2018 и 2019 годах - увеличение прибыли прибыльных предприятий на 9,6 % ежегодно.</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7367D" w:rsidRPr="0037367D" w:rsidRDefault="0037367D" w:rsidP="0037367D">
      <w:pPr>
        <w:spacing w:after="0" w:line="240" w:lineRule="auto"/>
        <w:ind w:firstLine="709"/>
        <w:jc w:val="both"/>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 xml:space="preserve">Заключение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условиях дефицита бюджета необходимо продолжить работу по концентрации инвестиционных расходов бюджета городского округа на приоритетных направлениях (в том числе за счет их сокращения по неприоритетным статьям расходов).</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2015 году закончился переход на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 бюджета Артемовского городского округа.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Учитывая, что в ближайшей перспективе будут действовать ограничения, связанные с неблагоприятной ситуацией в мировой экономике, необходима работа по приоритезации расходов бюджета Артемовского городского округа.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Приоритетными в 2017-2019 годах признаются направления, связанные с реализацией указов Президента Российской Федерации от 07.05.2012, мероприятий муниципальных программ, а также иные мероприятия, направленные на развитие городского округа: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1) строительство школы в городе Артемовском, капитальный ремонт дошкольных образовательных учреждений;</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2) строительство и капитальный ремонт тротуаров, муниципальных дорог общего пользования;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3) капитальный ремонт (замена) аварийных водопроводов, теплотрасс, водоводов и сетей водоотведения;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4) модернизация жилищно-коммунального хозяйства;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5) строительство газовых котельных в сельских населенных пунктах;</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6) газификация Артемовского городского округа;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7) строительство жилья для переселения граждан из непригодного и аварийного жилья;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8) развитие въездного и внутреннего туризма.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Таблица «Показатели прогноза развития Артемовского городского округа на 2017 год и плановый период 2018 и 2019 годов» (Приложение).</w:t>
      </w:r>
    </w:p>
    <w:p w:rsidR="0037367D" w:rsidRPr="0037367D" w:rsidRDefault="0037367D" w:rsidP="0037367D">
      <w:pPr>
        <w:spacing w:after="0" w:line="240" w:lineRule="auto"/>
        <w:ind w:firstLine="709"/>
        <w:jc w:val="both"/>
        <w:rPr>
          <w:rFonts w:ascii="Times New Roman" w:eastAsia="Times New Roman" w:hAnsi="Times New Roman" w:cs="Times New Roman"/>
          <w:b/>
          <w:sz w:val="28"/>
          <w:szCs w:val="28"/>
          <w:u w:val="single"/>
          <w:lang w:eastAsia="ru-RU"/>
        </w:rPr>
      </w:pPr>
    </w:p>
    <w:p w:rsidR="0037367D" w:rsidRDefault="0037367D" w:rsidP="0037367D">
      <w:pPr>
        <w:tabs>
          <w:tab w:val="left" w:pos="3135"/>
          <w:tab w:val="center" w:pos="4677"/>
        </w:tabs>
        <w:autoSpaceDE w:val="0"/>
        <w:autoSpaceDN w:val="0"/>
        <w:adjustRightInd w:val="0"/>
        <w:spacing w:after="0" w:line="240" w:lineRule="auto"/>
        <w:rPr>
          <w:rFonts w:ascii="Times New Roman" w:hAnsi="Times New Roman" w:cs="Times New Roman"/>
          <w:sz w:val="28"/>
          <w:szCs w:val="28"/>
        </w:rPr>
        <w:sectPr w:rsidR="0037367D" w:rsidSect="008E5F52">
          <w:pgSz w:w="11906" w:h="16838"/>
          <w:pgMar w:top="1134" w:right="992" w:bottom="1191" w:left="1559" w:header="709" w:footer="709" w:gutter="0"/>
          <w:cols w:space="708"/>
          <w:docGrid w:linePitch="360"/>
        </w:sectPr>
      </w:pPr>
    </w:p>
    <w:p w:rsidR="0037367D" w:rsidRDefault="0037367D" w:rsidP="0037367D">
      <w:pPr>
        <w:pStyle w:val="a5"/>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7367D" w:rsidRPr="009712D2" w:rsidRDefault="0037367D" w:rsidP="0037367D">
      <w:pPr>
        <w:pStyle w:val="a5"/>
        <w:jc w:val="right"/>
        <w:rPr>
          <w:rFonts w:ascii="Times New Roman" w:hAnsi="Times New Roman" w:cs="Times New Roman"/>
          <w:sz w:val="28"/>
          <w:szCs w:val="28"/>
        </w:rPr>
      </w:pPr>
      <w:r>
        <w:rPr>
          <w:rFonts w:ascii="Times New Roman" w:hAnsi="Times New Roman" w:cs="Times New Roman"/>
          <w:sz w:val="28"/>
          <w:szCs w:val="28"/>
        </w:rPr>
        <w:t xml:space="preserve">к </w:t>
      </w:r>
      <w:r w:rsidRPr="009712D2">
        <w:rPr>
          <w:rFonts w:ascii="Times New Roman" w:hAnsi="Times New Roman" w:cs="Times New Roman"/>
          <w:sz w:val="28"/>
          <w:szCs w:val="28"/>
        </w:rPr>
        <w:t>Прогноз</w:t>
      </w:r>
      <w:r>
        <w:rPr>
          <w:rFonts w:ascii="Times New Roman" w:hAnsi="Times New Roman" w:cs="Times New Roman"/>
          <w:sz w:val="28"/>
          <w:szCs w:val="28"/>
        </w:rPr>
        <w:t>у</w:t>
      </w:r>
      <w:r w:rsidRPr="009712D2">
        <w:rPr>
          <w:rFonts w:ascii="Times New Roman" w:hAnsi="Times New Roman" w:cs="Times New Roman"/>
          <w:sz w:val="28"/>
          <w:szCs w:val="28"/>
        </w:rPr>
        <w:t xml:space="preserve"> социально - экономического развития</w:t>
      </w:r>
    </w:p>
    <w:p w:rsidR="0037367D" w:rsidRPr="009712D2" w:rsidRDefault="0037367D" w:rsidP="0037367D">
      <w:pPr>
        <w:pStyle w:val="a5"/>
        <w:jc w:val="right"/>
        <w:rPr>
          <w:rFonts w:ascii="Times New Roman" w:hAnsi="Times New Roman" w:cs="Times New Roman"/>
          <w:sz w:val="28"/>
          <w:szCs w:val="28"/>
        </w:rPr>
      </w:pPr>
      <w:r w:rsidRPr="009712D2">
        <w:rPr>
          <w:rFonts w:ascii="Times New Roman" w:hAnsi="Times New Roman" w:cs="Times New Roman"/>
          <w:sz w:val="28"/>
          <w:szCs w:val="28"/>
        </w:rPr>
        <w:t>Артемовского городского округа на 2017 год</w:t>
      </w:r>
    </w:p>
    <w:p w:rsidR="0037367D" w:rsidRDefault="0037367D" w:rsidP="0037367D">
      <w:pPr>
        <w:pStyle w:val="a5"/>
        <w:jc w:val="right"/>
        <w:rPr>
          <w:rFonts w:ascii="Times New Roman" w:hAnsi="Times New Roman" w:cs="Times New Roman"/>
          <w:sz w:val="28"/>
          <w:szCs w:val="28"/>
        </w:rPr>
      </w:pPr>
      <w:r w:rsidRPr="009712D2">
        <w:rPr>
          <w:rFonts w:ascii="Times New Roman" w:hAnsi="Times New Roman" w:cs="Times New Roman"/>
          <w:sz w:val="28"/>
          <w:szCs w:val="28"/>
        </w:rPr>
        <w:t>и плановый период 2018 и 2019 годов</w:t>
      </w:r>
    </w:p>
    <w:p w:rsidR="0037367D" w:rsidRDefault="0037367D" w:rsidP="0037367D">
      <w:pPr>
        <w:pStyle w:val="a5"/>
        <w:jc w:val="right"/>
        <w:rPr>
          <w:rFonts w:ascii="Times New Roman" w:hAnsi="Times New Roman" w:cs="Times New Roman"/>
          <w:sz w:val="28"/>
          <w:szCs w:val="28"/>
        </w:rPr>
      </w:pPr>
    </w:p>
    <w:p w:rsidR="0037367D" w:rsidRDefault="0037367D" w:rsidP="0037367D">
      <w:pPr>
        <w:pStyle w:val="a5"/>
        <w:jc w:val="right"/>
        <w:rPr>
          <w:rFonts w:ascii="Times New Roman" w:hAnsi="Times New Roman" w:cs="Times New Roman"/>
          <w:sz w:val="28"/>
          <w:szCs w:val="28"/>
        </w:rPr>
      </w:pPr>
    </w:p>
    <w:p w:rsidR="0037367D" w:rsidRPr="00DD3FF5" w:rsidRDefault="0037367D" w:rsidP="0037367D">
      <w:pPr>
        <w:pStyle w:val="a5"/>
        <w:jc w:val="center"/>
        <w:rPr>
          <w:rFonts w:ascii="Times New Roman" w:hAnsi="Times New Roman" w:cs="Times New Roman"/>
          <w:sz w:val="28"/>
          <w:szCs w:val="28"/>
        </w:rPr>
      </w:pPr>
      <w:r w:rsidRPr="00DD3FF5">
        <w:rPr>
          <w:rFonts w:ascii="Times New Roman" w:hAnsi="Times New Roman" w:cs="Times New Roman"/>
          <w:sz w:val="28"/>
          <w:szCs w:val="28"/>
        </w:rPr>
        <w:t>Показатели прогноза развития Артемовского городского округа</w:t>
      </w:r>
    </w:p>
    <w:p w:rsidR="0037367D" w:rsidRDefault="0037367D" w:rsidP="0037367D">
      <w:pPr>
        <w:pStyle w:val="a5"/>
        <w:jc w:val="center"/>
        <w:rPr>
          <w:rFonts w:ascii="Times New Roman" w:hAnsi="Times New Roman" w:cs="Times New Roman"/>
          <w:sz w:val="28"/>
          <w:szCs w:val="28"/>
        </w:rPr>
      </w:pPr>
      <w:r w:rsidRPr="00DD3FF5">
        <w:rPr>
          <w:rFonts w:ascii="Times New Roman" w:hAnsi="Times New Roman" w:cs="Times New Roman"/>
          <w:sz w:val="28"/>
          <w:szCs w:val="28"/>
        </w:rPr>
        <w:t>на 2017 год и плановый период 2018 и 2019 годов</w:t>
      </w:r>
    </w:p>
    <w:p w:rsidR="0037367D" w:rsidRPr="00DD3FF5" w:rsidRDefault="0037367D" w:rsidP="0037367D">
      <w:pPr>
        <w:pStyle w:val="a5"/>
        <w:jc w:val="center"/>
        <w:rPr>
          <w:rFonts w:ascii="Times New Roman" w:hAnsi="Times New Roman" w:cs="Times New Roman"/>
          <w:sz w:val="28"/>
          <w:szCs w:val="28"/>
        </w:rPr>
      </w:pPr>
    </w:p>
    <w:tbl>
      <w:tblPr>
        <w:tblW w:w="14175" w:type="dxa"/>
        <w:tblInd w:w="392" w:type="dxa"/>
        <w:tblLook w:val="04A0" w:firstRow="1" w:lastRow="0" w:firstColumn="1" w:lastColumn="0" w:noHBand="0" w:noVBand="1"/>
      </w:tblPr>
      <w:tblGrid>
        <w:gridCol w:w="5103"/>
        <w:gridCol w:w="1701"/>
        <w:gridCol w:w="1480"/>
        <w:gridCol w:w="1480"/>
        <w:gridCol w:w="1516"/>
        <w:gridCol w:w="1418"/>
        <w:gridCol w:w="1477"/>
      </w:tblGrid>
      <w:tr w:rsidR="0037367D" w:rsidRPr="00DD3FF5" w:rsidTr="000B1076">
        <w:trPr>
          <w:trHeight w:val="327"/>
          <w:tblHeader/>
        </w:trPr>
        <w:tc>
          <w:tcPr>
            <w:tcW w:w="5103"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Наименование показателя</w:t>
            </w:r>
          </w:p>
        </w:tc>
        <w:tc>
          <w:tcPr>
            <w:tcW w:w="1701"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Единица измерения</w:t>
            </w:r>
          </w:p>
        </w:tc>
        <w:tc>
          <w:tcPr>
            <w:tcW w:w="1480" w:type="dxa"/>
            <w:tcBorders>
              <w:top w:val="single" w:sz="4" w:space="0" w:color="C0C0C0"/>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Отчет</w:t>
            </w:r>
          </w:p>
        </w:tc>
        <w:tc>
          <w:tcPr>
            <w:tcW w:w="1480" w:type="dxa"/>
            <w:tcBorders>
              <w:top w:val="single" w:sz="4" w:space="0" w:color="C0C0C0"/>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Оценка</w:t>
            </w:r>
          </w:p>
        </w:tc>
        <w:tc>
          <w:tcPr>
            <w:tcW w:w="4411" w:type="dxa"/>
            <w:gridSpan w:val="3"/>
            <w:tcBorders>
              <w:top w:val="single" w:sz="4" w:space="0" w:color="C0C0C0"/>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Прогноз</w:t>
            </w:r>
          </w:p>
        </w:tc>
      </w:tr>
      <w:tr w:rsidR="0037367D" w:rsidRPr="00DD3FF5" w:rsidTr="000B1076">
        <w:trPr>
          <w:trHeight w:val="327"/>
          <w:tblHeader/>
        </w:trPr>
        <w:tc>
          <w:tcPr>
            <w:tcW w:w="5103" w:type="dxa"/>
            <w:vMerge/>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b/>
                <w:bCs/>
                <w:sz w:val="26"/>
                <w:szCs w:val="26"/>
                <w:lang w:eastAsia="ru-RU"/>
              </w:rPr>
            </w:pPr>
          </w:p>
        </w:tc>
        <w:tc>
          <w:tcPr>
            <w:tcW w:w="1701" w:type="dxa"/>
            <w:vMerge/>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b/>
                <w:bCs/>
                <w:sz w:val="26"/>
                <w:szCs w:val="26"/>
                <w:lang w:eastAsia="ru-RU"/>
              </w:rPr>
            </w:pPr>
          </w:p>
        </w:tc>
        <w:tc>
          <w:tcPr>
            <w:tcW w:w="1480"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2015</w:t>
            </w:r>
          </w:p>
        </w:tc>
        <w:tc>
          <w:tcPr>
            <w:tcW w:w="1480"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2016</w:t>
            </w:r>
          </w:p>
        </w:tc>
        <w:tc>
          <w:tcPr>
            <w:tcW w:w="1516"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2017</w:t>
            </w:r>
          </w:p>
        </w:tc>
        <w:tc>
          <w:tcPr>
            <w:tcW w:w="1418"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2018</w:t>
            </w:r>
          </w:p>
        </w:tc>
        <w:tc>
          <w:tcPr>
            <w:tcW w:w="1477"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2019</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I. Финансы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Доходы, всего (стр. 1.1 + стр. 1.12)</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729,80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719,94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721,52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708,43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717,06</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1.1.Прибыль прибыльных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95,44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100,12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109,73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120,26</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1.1.1. сальдо прибылей и убытков (справочно)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50,80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54,86</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59,25</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63,99</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69,11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Амортизационные отчисления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145,60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165,28</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181,81</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198,54</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216,41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1.3. Налог на доходы физических лиц</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531,90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532,00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532,00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 Единый налог на вмененный доход</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28,00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26,00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1.4.1 налоговая база (сумма исчисленного вмененного дохода)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48,30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44,82</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1.5. Налог с патентной системы налогообложения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1.6. Земельный налог</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1.7. Единый сельскохозяйственный налог</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1.7.1. налоговая база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r>
      <w:tr w:rsidR="0037367D" w:rsidRPr="00DD3FF5" w:rsidTr="000B1076">
        <w:trPr>
          <w:trHeight w:val="370"/>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1.8. Налог на имущество физических лиц</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1.9. Прочие налоги и сборы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33,70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33,70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33,70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33,70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1.10. Неналоговые доходы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26,50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14,80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12,70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13,10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1.11. Прочие доходы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1.12. Итого доходов (сумма строк 1.3, 1.4, 1.5, 1.6, 1.7, 1.8, 1.9, 1.10, 1.11)</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638,90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624,50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621,40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598,70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596,80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1.13. Средства, получаемые от вышестоящих уровней власти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990,00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1 097,10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Финансирование муниципальных программ (справочно)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833,10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960,00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1 155,50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1 180,00</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Недополученные доходы муниципальных образований от предоставления налоговых преференций, предусмотренных решениями органов местного самоуправления (справочно):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Земельный налог</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Налог на имущество физических лиц</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II. Производственная деятельность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Оборот организаций (по полному кругу) по видам экономической деятельности, всего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9 391,90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9 504,60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9 799,24</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10 318,60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10 968,67</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в том числе: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раздел А: Сельское хозяйство, охота и лесное хозяйство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793,70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817,50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843,67</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871,51</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901,14</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1.2. раздел С: Добыча полезных </w:t>
            </w:r>
            <w:r w:rsidRPr="009712D2">
              <w:rPr>
                <w:rFonts w:ascii="Times New Roman" w:eastAsia="Times New Roman" w:hAnsi="Times New Roman" w:cs="Times New Roman"/>
                <w:sz w:val="26"/>
                <w:szCs w:val="26"/>
                <w:lang w:eastAsia="ru-RU"/>
              </w:rPr>
              <w:lastRenderedPageBreak/>
              <w:t>ископаемых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1.3. раздел D: Обрабатывающие производства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3 981,21</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4 028,90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4 152,80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4 374,00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4 649,60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 раздел E: Производство и распределение электроэнергии, газа и воды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2 280,49</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2 273,64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2 291,83</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2 321,63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2 361,09</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1.5. раздел F: Строительство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85,35</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171,00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227,70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1.6. раздел G: Оптовая и розничная торговля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3 870,70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4 064,23</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4 165,80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4 269,98</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4 419,43</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1.7. из раздела I: Транспорт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85,10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85,10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85,20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85,20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85,30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1.8. из раздела I: Связь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6,70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6,90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6,90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Оборот организаций (по полному кругу) в расчете на одного работника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858,33</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867,60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893,27</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938,05</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992,63</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в том числе: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2.1. раздел А: Сельское хозяйство, охота и лесное хозяйство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1 288,47</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1 318,54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1 349,87</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1 383,34</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1 419,11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2.2. раздел С: Добыча полезных ископаемых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2.3. раздел D: Обрабатывающие производства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1 596,31</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1 615,46</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1 665,54</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1 753,81</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1 864,31</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2.4. раздел Е: Производство и распределение электроэнергии, газа и воды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1 625,43</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1 624,02</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1 637,02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1 658,30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1 686,49</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2.5. раздел F: Cтроительство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426,75</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427,50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684,00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796,15</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843,00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2.6. раздел G: Оптовая и розничная торговля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3 365,82</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3 503,64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3 591,20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3 681,01</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3 809,85</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2.7. из раздела I: Транспорт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62,89</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62,57</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62,64</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62,64</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62,72</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2.8. из раздела I: Связь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121,81</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123,63</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125,45</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125,45</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Электроэнергетический баланс:</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3.1. Потребление электроэнергии муниципальным образованием</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 кВт.ч</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388 245,00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434 392,00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438 736,92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443 123,27</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447 554,51</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Наличие собственных ресурсов на территории муниципального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 кВт.ч</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3.3. Получение электроэнергии со стороны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 кВт.ч</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388 245,00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434 392,00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438 736,92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443 123,27</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447 554,51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3.4. Отпуск электроэнергии на сторону</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 кВт.ч</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3.5. Баланс (п.3.2+п.3.3–п.3.4–п.3.1)</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тыс. кВт.ч</w:t>
            </w:r>
          </w:p>
        </w:tc>
        <w:tc>
          <w:tcPr>
            <w:tcW w:w="1480"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III. Инновационная деятельность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Число организаций, выпускающих инновационную продукцию</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Объем отгруженной инновационной продукции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млн.рублей</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Число организаций, осуществляющих технологические, организационные, маркетинговые инновации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из них число организаций, осуществляющих технологические инновации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 Затраты организаций на технологические, организационные, маркетинговые инновации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млн.рублей</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4.1. из них на технологические инновации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млн.рублей</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 Число внедренных передовых производственных технологий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IV. Инвестиционная деятельность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1. Объем инвестиций в основной капитал за счет всех источников финансирования, всего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562,94</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из них по отраслям экономики: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промышленный комплекс</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140,33</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сельское хозяйство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33,64</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391,96</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1.3. оптовая и розничная торговля, сфера услуг и развлечений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19,58</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 транспорт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5,20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Ввод в действие новых основных фондов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2.1. в том числе отечественного производства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58,50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Количество созданных новых рабочих мест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V. Денежные доходы населения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Доходы населения муниципального образования, всего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9 128,11</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8 872,53</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8 845,91</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8 934,37</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9 175,59</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из них: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Доходы от предпринимательской деятельности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319,30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325,00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329,26</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335,85</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336,00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Оплата труда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4 661,71</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4 591,78</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4 582,59</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4 651,33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4 818,77</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1.3. Социальные выплаты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3 903,04</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3 934,03</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3 941,00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3 948,43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3 955,51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Среднедушевые денежные доходы (в месяц)</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13 330,69</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13 026,61</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12 978,15</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13 084,90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13 391,11</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3. Численность населения с денежными доходами ниже прожиточного минимума в </w:t>
            </w:r>
            <w:r w:rsidRPr="009712D2">
              <w:rPr>
                <w:rFonts w:ascii="Times New Roman" w:eastAsia="Times New Roman" w:hAnsi="Times New Roman" w:cs="Times New Roman"/>
                <w:sz w:val="26"/>
                <w:szCs w:val="26"/>
                <w:lang w:eastAsia="ru-RU"/>
              </w:rPr>
              <w:lastRenderedPageBreak/>
              <w:t>% к численности населения муниципального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14,80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14,90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14,80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14,80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14,70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VI. Потребительский рынок</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Оборот розничной торговли в ценах соответствующего периода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3 870,70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4 064,23</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4 165,84</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4 269,98</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4 398,08</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Оборот общественного питания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190,40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194,20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198,08</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202,04</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206,08</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Обеспеченность площадью торговых объектов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кв.м/на 1000 жителей</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652,00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681,00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681,00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681,00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VII. Демографические показатели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Численность и состав населения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Численность постоянного населения муниципального образования (на начало года)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57 062,00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56 759,00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56 800,00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56 900,00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57 100,00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Среднегодовая численность населения муниципального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57 000,00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56 700,00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56 750,00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56 850,00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57 050,00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1.3. Численность детей в возрасте 3-7 лет (дошкольного возраста)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3 733,00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3 835,00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4 021,00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4 108,00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4 200,00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 Численность детей и подростков в возрасте 8-17 лет (школьного возраста)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6 520,00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6 670,00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6 752,00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6 850,00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6 950,00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1.5. Численность населения в трудоспособном возрасте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30 844,00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30 000,00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30 300,00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30 500,00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30 800,00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1.6. Численность населения старше трудоспособного возраста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16 015,00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16 211,00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16 300,00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16 400,00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16 500,00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Естественное движение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2.1. Число родившихся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2.2. Число умерших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998,00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920,00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в том числе: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400" w:firstLine="104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2.2.1. детей в возрасте до 1 года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400" w:firstLine="104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2.2.2. в трудоспособном возрасте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234,00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210,00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Миграционное движение (на постоянное место жительства, нетрудовая миграция)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Число прибывших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1 654,00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1 750,00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Число выбывших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1 669,00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1 500,00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1 400,00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1 200,00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VIII. Развитие социальной сферы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Количество семей с 3 и более детьми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760,00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840,00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870,00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в том числе со среднедушевыми доходами ниже прожиточного минимума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298,00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320,00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340,00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Количество мест в дошкольных образовательных учреждениях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3 167,00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3 413,00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3 413,00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3 413,00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3 413,00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Потребность в дополнительных местах в дошкольных образовательных учреждениях (дети от 1,5 до 7 лет минус количество имеющихся мест)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1 064,00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730,00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740,00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740,00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740,00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Очередность в дошкольные образовательные учреждения детей от 1,5 до 3 лет (заполняется с 2016 года)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924,00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920,00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Очередность в дошкольные образовательные учреждения детей от 3 до 7 лет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 Количество мест в общеобразовательных учреждениях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4.1. в том числе в начальных классах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5. Количество учащихся </w:t>
            </w:r>
            <w:r w:rsidRPr="009712D2">
              <w:rPr>
                <w:rFonts w:ascii="Times New Roman" w:eastAsia="Times New Roman" w:hAnsi="Times New Roman" w:cs="Times New Roman"/>
                <w:sz w:val="26"/>
                <w:szCs w:val="26"/>
                <w:lang w:eastAsia="ru-RU"/>
              </w:rPr>
              <w:lastRenderedPageBreak/>
              <w:t>общеобразовательных учреждений, обучающихся во вторую и третью смены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499,00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540,00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6. Потребность в дополнительных местах в общеобразовательных учреждениях (дети 7-17 лет минус количество имеющихся мест)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-1 575,00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-1 425,00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-1 343,00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-1 245,00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-1 145,00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7. Обеспеченность врачебными кадрами всех специальностей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 на 10 тыс. населения</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21,40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22,70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23,20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23,50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8. Обеспеченность врачами общей практики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 на 10 тыс. населения.</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9. Обеспеченность средним медицинским персоналом</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 на 10 тыс. населения</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82,70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82,70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83,30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10. Доля врачей в возрасте до 35 лет к общему числу врачей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11,50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11,50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12,50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Доля учителей общеобразовательных учреждений в возрасте до 35 лет к общему числу учителей образовательных учреждений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15,20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15,20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19,00</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Численность женщин, находящихся в отпуске по уходу за ребенком до достижения им возраста трех лет, прошедших профессиональное обучение (переобучение)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13. Количество социально ориентированных некоммерческих </w:t>
            </w:r>
            <w:r w:rsidRPr="009712D2">
              <w:rPr>
                <w:rFonts w:ascii="Times New Roman" w:eastAsia="Times New Roman" w:hAnsi="Times New Roman" w:cs="Times New Roman"/>
                <w:sz w:val="26"/>
                <w:szCs w:val="26"/>
                <w:lang w:eastAsia="ru-RU"/>
              </w:rPr>
              <w:lastRenderedPageBreak/>
              <w:t>организаций, получивших поддержку из местного бюджета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IХ. Трудовые ресурсы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Среднесписочная численность работников (без внешних совместителей) по полному кругу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24 941,00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24 950,00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25 050,00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25 150,00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25 200,00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Трудовые ресурсы, всего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33 951,00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33 033,00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33 220,00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33 440,00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33 680,00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Состав трудовых ресурсов: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трудоспособное население в трудоспособном возрасте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30 844,00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30 000,00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30 300,00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30 500,00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30 800,00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лица старше трудоспособного возраста, занятые в экономике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2 664,00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2 557,00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2 450,00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2 460,00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2 380,00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3.3. подростки, занятые в экономике (до 15 лет включительно)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312,00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326,00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3.4. иностранные граждане, осуществляющие трудовую деятельность по найму в Российской Федерации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131,00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170,00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 Распределение трудовых ресурсов: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4.1. занято в экономике муниципального образования (без учета иногородних жителей, въезжающих на работу на территорию муниципального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24 810,00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24 800,00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24 800,00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24 970,00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25 000,00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4.2. учащиеся в трудоспособном возрасте, обучающиеся с отрывом от работы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913,00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867,00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930,00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945,00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4.3. безработные по методологии МОТ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2 530,00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2 750,00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2 709,00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2 650,00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2 650,00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4.3.1. в том числе безработные, официально зарегистрированные в службе занятости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919,00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939,00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4.4. неработающие пенсионеры в трудоспособном возрасте, получающие пенсии по старости на льготных условиях в органах Пенсионного фонда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3 543,00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3 570,00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3 540,00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3 470,00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4.5. лица, находящиеся в отпусках по беременности и родам и по уходу за ребенком до достижения им возраста 3 лет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1 688,00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1 725,00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1 775,00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1 800,00</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4.6. лица, выполняющие домашние обязанности, осуществляющие уход за детьми и другими членами семьи, а также другие трудоспособные лица, у которых нет необходимости работать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4.7. прочие (военнослужащие, лица, находящиеся в местах лишения свободы, и другие)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270,00</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 Потребность организаций в подготовке специалистов и квалифицированных рабочих в рамках программ развития организаций и инвестиционных проектов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5.1. в разрезе специальностей высшего профессионального образования по направлениям подготовки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5.1.1 инженерно-технические специальности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5.1.2 гуманитарные специальности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5.2. в разрезе специальностей и профессий среднего профессионального образования по специальностям</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5.2.1 инженерно-технические специальности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5.2.2 гуманитарные специальности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r>
    </w:tbl>
    <w:p w:rsidR="0037367D" w:rsidRPr="00DD3FF5" w:rsidRDefault="0037367D" w:rsidP="0037367D">
      <w:pPr>
        <w:rPr>
          <w:rFonts w:ascii="Times New Roman" w:hAnsi="Times New Roman" w:cs="Times New Roman"/>
          <w:sz w:val="24"/>
          <w:szCs w:val="24"/>
        </w:rPr>
      </w:pPr>
    </w:p>
    <w:p w:rsidR="005E7B5C" w:rsidRDefault="005E7B5C" w:rsidP="0037367D">
      <w:pPr>
        <w:tabs>
          <w:tab w:val="left" w:pos="3135"/>
          <w:tab w:val="center" w:pos="4677"/>
        </w:tabs>
        <w:autoSpaceDE w:val="0"/>
        <w:autoSpaceDN w:val="0"/>
        <w:adjustRightInd w:val="0"/>
        <w:spacing w:after="0" w:line="240" w:lineRule="auto"/>
        <w:rPr>
          <w:rFonts w:ascii="Times New Roman" w:hAnsi="Times New Roman" w:cs="Times New Roman"/>
          <w:sz w:val="28"/>
          <w:szCs w:val="28"/>
        </w:rPr>
      </w:pPr>
    </w:p>
    <w:sectPr w:rsidR="005E7B5C" w:rsidSect="00994B67">
      <w:headerReference w:type="default" r:id="rId9"/>
      <w:pgSz w:w="16838" w:h="11906" w:orient="landscape"/>
      <w:pgMar w:top="170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C3" w:rsidRDefault="007143C3">
      <w:pPr>
        <w:spacing w:after="0" w:line="240" w:lineRule="auto"/>
      </w:pPr>
      <w:r>
        <w:separator/>
      </w:r>
    </w:p>
  </w:endnote>
  <w:endnote w:type="continuationSeparator" w:id="0">
    <w:p w:rsidR="007143C3" w:rsidRDefault="0071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C3" w:rsidRDefault="007143C3">
      <w:pPr>
        <w:spacing w:after="0" w:line="240" w:lineRule="auto"/>
      </w:pPr>
      <w:r>
        <w:separator/>
      </w:r>
    </w:p>
  </w:footnote>
  <w:footnote w:type="continuationSeparator" w:id="0">
    <w:p w:rsidR="007143C3" w:rsidRDefault="00714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6937"/>
      <w:docPartObj>
        <w:docPartGallery w:val="Page Numbers (Top of Page)"/>
        <w:docPartUnique/>
      </w:docPartObj>
    </w:sdtPr>
    <w:sdtEndPr/>
    <w:sdtContent>
      <w:p w:rsidR="00994B67" w:rsidRDefault="00D27B4B">
        <w:pPr>
          <w:pStyle w:val="a8"/>
          <w:jc w:val="center"/>
        </w:pPr>
      </w:p>
      <w:p w:rsidR="00DD3FF5" w:rsidRDefault="0037367D" w:rsidP="00994B67">
        <w:pPr>
          <w:pStyle w:val="a8"/>
          <w:jc w:val="center"/>
        </w:pPr>
        <w:r>
          <w:fldChar w:fldCharType="begin"/>
        </w:r>
        <w:r>
          <w:instrText>PAGE   \* MERGEFORMAT</w:instrText>
        </w:r>
        <w:r>
          <w:fldChar w:fldCharType="separate"/>
        </w:r>
        <w:r w:rsidR="00D27B4B">
          <w:rPr>
            <w:noProof/>
          </w:rPr>
          <w:t>20</w:t>
        </w:r>
        <w:r>
          <w:fldChar w:fldCharType="end"/>
        </w:r>
      </w:p>
    </w:sdtContent>
  </w:sdt>
  <w:p w:rsidR="00DD3FF5" w:rsidRDefault="00D27B4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02"/>
    <w:rsid w:val="00025374"/>
    <w:rsid w:val="0004201D"/>
    <w:rsid w:val="00085721"/>
    <w:rsid w:val="000C5179"/>
    <w:rsid w:val="001945A1"/>
    <w:rsid w:val="0019617E"/>
    <w:rsid w:val="001A7A26"/>
    <w:rsid w:val="001E35C3"/>
    <w:rsid w:val="00266278"/>
    <w:rsid w:val="00267257"/>
    <w:rsid w:val="00270402"/>
    <w:rsid w:val="002D56BD"/>
    <w:rsid w:val="002D5E31"/>
    <w:rsid w:val="002E4A2B"/>
    <w:rsid w:val="00356BC7"/>
    <w:rsid w:val="0037367D"/>
    <w:rsid w:val="003B410E"/>
    <w:rsid w:val="00411C1F"/>
    <w:rsid w:val="00425256"/>
    <w:rsid w:val="005E7B5C"/>
    <w:rsid w:val="00600588"/>
    <w:rsid w:val="00651DF1"/>
    <w:rsid w:val="0065504E"/>
    <w:rsid w:val="006A4331"/>
    <w:rsid w:val="007143C3"/>
    <w:rsid w:val="00773CAC"/>
    <w:rsid w:val="007B35B6"/>
    <w:rsid w:val="00803CA6"/>
    <w:rsid w:val="008359E0"/>
    <w:rsid w:val="008D0413"/>
    <w:rsid w:val="008E5F52"/>
    <w:rsid w:val="008F0258"/>
    <w:rsid w:val="0093533E"/>
    <w:rsid w:val="0095703C"/>
    <w:rsid w:val="009A68F0"/>
    <w:rsid w:val="00A5052F"/>
    <w:rsid w:val="00B27568"/>
    <w:rsid w:val="00BB3FCD"/>
    <w:rsid w:val="00BE4CE7"/>
    <w:rsid w:val="00C17538"/>
    <w:rsid w:val="00C44017"/>
    <w:rsid w:val="00C666A8"/>
    <w:rsid w:val="00C74D9C"/>
    <w:rsid w:val="00CF190D"/>
    <w:rsid w:val="00D27B4B"/>
    <w:rsid w:val="00D92186"/>
    <w:rsid w:val="00DA0BF7"/>
    <w:rsid w:val="00E508A3"/>
    <w:rsid w:val="00E96447"/>
    <w:rsid w:val="00ED676B"/>
    <w:rsid w:val="00EF4BA3"/>
    <w:rsid w:val="00F22703"/>
    <w:rsid w:val="00F3203A"/>
    <w:rsid w:val="00F37320"/>
    <w:rsid w:val="00F6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03C"/>
    <w:rPr>
      <w:rFonts w:ascii="Tahoma" w:hAnsi="Tahoma" w:cs="Tahoma"/>
      <w:sz w:val="16"/>
      <w:szCs w:val="16"/>
    </w:rPr>
  </w:style>
  <w:style w:type="paragraph" w:styleId="a5">
    <w:name w:val="No Spacing"/>
    <w:uiPriority w:val="1"/>
    <w:qFormat/>
    <w:rsid w:val="0095703C"/>
    <w:pPr>
      <w:spacing w:after="0" w:line="240" w:lineRule="auto"/>
    </w:pPr>
  </w:style>
  <w:style w:type="character" w:styleId="a6">
    <w:name w:val="Hyperlink"/>
    <w:basedOn w:val="a0"/>
    <w:uiPriority w:val="99"/>
    <w:semiHidden/>
    <w:unhideWhenUsed/>
    <w:rsid w:val="0037367D"/>
    <w:rPr>
      <w:color w:val="0000FF"/>
      <w:u w:val="single"/>
    </w:rPr>
  </w:style>
  <w:style w:type="character" w:styleId="a7">
    <w:name w:val="FollowedHyperlink"/>
    <w:basedOn w:val="a0"/>
    <w:uiPriority w:val="99"/>
    <w:semiHidden/>
    <w:unhideWhenUsed/>
    <w:rsid w:val="0037367D"/>
    <w:rPr>
      <w:color w:val="800080"/>
      <w:u w:val="single"/>
    </w:rPr>
  </w:style>
  <w:style w:type="paragraph" w:customStyle="1" w:styleId="xl65">
    <w:name w:val="xl65"/>
    <w:basedOn w:val="a"/>
    <w:rsid w:val="0037367D"/>
    <w:pPr>
      <w:pBdr>
        <w:top w:val="single" w:sz="4" w:space="0" w:color="C0C0C0"/>
        <w:left w:val="single" w:sz="4" w:space="0" w:color="C0C0C0"/>
        <w:bottom w:val="single" w:sz="4" w:space="0" w:color="C0C0C0"/>
        <w:right w:val="single" w:sz="4" w:space="0" w:color="C0C0C0"/>
      </w:pBdr>
      <w:shd w:val="clear" w:color="000000" w:fill="889CCF"/>
      <w:spacing w:before="100" w:beforeAutospacing="1" w:after="100" w:afterAutospacing="1" w:line="240" w:lineRule="auto"/>
      <w:jc w:val="center"/>
      <w:textAlignment w:val="center"/>
    </w:pPr>
    <w:rPr>
      <w:rFonts w:ascii="Tahoma" w:eastAsia="Times New Roman" w:hAnsi="Tahoma" w:cs="Tahoma"/>
      <w:b/>
      <w:bCs/>
      <w:color w:val="FFFFFF"/>
      <w:sz w:val="18"/>
      <w:szCs w:val="18"/>
      <w:lang w:eastAsia="ru-RU"/>
    </w:rPr>
  </w:style>
  <w:style w:type="paragraph" w:customStyle="1" w:styleId="xl66">
    <w:name w:val="xl66"/>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textAlignment w:val="center"/>
    </w:pPr>
    <w:rPr>
      <w:rFonts w:ascii="Tahoma" w:eastAsia="Times New Roman" w:hAnsi="Tahoma" w:cs="Tahoma"/>
      <w:color w:val="000080"/>
      <w:sz w:val="18"/>
      <w:szCs w:val="18"/>
      <w:lang w:eastAsia="ru-RU"/>
    </w:rPr>
  </w:style>
  <w:style w:type="paragraph" w:customStyle="1" w:styleId="xl67">
    <w:name w:val="xl67"/>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68">
    <w:name w:val="xl68"/>
    <w:basedOn w:val="a"/>
    <w:rsid w:val="0037367D"/>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line="240" w:lineRule="auto"/>
      <w:ind w:firstLineChars="100" w:firstLine="100"/>
      <w:textAlignment w:val="center"/>
    </w:pPr>
    <w:rPr>
      <w:rFonts w:ascii="Tahoma" w:eastAsia="Times New Roman" w:hAnsi="Tahoma" w:cs="Tahoma"/>
      <w:color w:val="000080"/>
      <w:sz w:val="18"/>
      <w:szCs w:val="18"/>
      <w:lang w:eastAsia="ru-RU"/>
    </w:rPr>
  </w:style>
  <w:style w:type="paragraph" w:customStyle="1" w:styleId="xl69">
    <w:name w:val="xl69"/>
    <w:basedOn w:val="a"/>
    <w:rsid w:val="0037367D"/>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line="240" w:lineRule="auto"/>
      <w:ind w:firstLineChars="200" w:firstLine="200"/>
      <w:textAlignment w:val="center"/>
    </w:pPr>
    <w:rPr>
      <w:rFonts w:ascii="Tahoma" w:eastAsia="Times New Roman" w:hAnsi="Tahoma" w:cs="Tahoma"/>
      <w:color w:val="000080"/>
      <w:sz w:val="18"/>
      <w:szCs w:val="18"/>
      <w:lang w:eastAsia="ru-RU"/>
    </w:rPr>
  </w:style>
  <w:style w:type="paragraph" w:customStyle="1" w:styleId="xl70">
    <w:name w:val="xl70"/>
    <w:basedOn w:val="a"/>
    <w:rsid w:val="0037367D"/>
    <w:pPr>
      <w:pBdr>
        <w:top w:val="single" w:sz="4" w:space="0" w:color="C0C0C0"/>
        <w:left w:val="single" w:sz="4" w:space="27" w:color="C0C0C0"/>
        <w:bottom w:val="single" w:sz="4" w:space="0" w:color="C0C0C0"/>
        <w:right w:val="single" w:sz="4" w:space="0" w:color="C0C0C0"/>
      </w:pBdr>
      <w:shd w:val="clear" w:color="000000" w:fill="F3F3F3"/>
      <w:spacing w:before="100" w:beforeAutospacing="1" w:after="100" w:afterAutospacing="1" w:line="240" w:lineRule="auto"/>
      <w:ind w:firstLineChars="300" w:firstLine="300"/>
      <w:textAlignment w:val="center"/>
    </w:pPr>
    <w:rPr>
      <w:rFonts w:ascii="Tahoma" w:eastAsia="Times New Roman" w:hAnsi="Tahoma" w:cs="Tahoma"/>
      <w:color w:val="000080"/>
      <w:sz w:val="18"/>
      <w:szCs w:val="18"/>
      <w:lang w:eastAsia="ru-RU"/>
    </w:rPr>
  </w:style>
  <w:style w:type="paragraph" w:customStyle="1" w:styleId="xl71">
    <w:name w:val="xl71"/>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37367D"/>
    <w:pPr>
      <w:pBdr>
        <w:top w:val="single" w:sz="4" w:space="0" w:color="C0C0C0"/>
        <w:left w:val="single" w:sz="4" w:space="31" w:color="C0C0C0"/>
        <w:bottom w:val="single" w:sz="4" w:space="0" w:color="C0C0C0"/>
        <w:right w:val="single" w:sz="4" w:space="0" w:color="C0C0C0"/>
      </w:pBdr>
      <w:shd w:val="clear" w:color="000000" w:fill="F3F3F3"/>
      <w:spacing w:before="100" w:beforeAutospacing="1" w:after="100" w:afterAutospacing="1" w:line="240" w:lineRule="auto"/>
      <w:ind w:firstLineChars="400" w:firstLine="400"/>
      <w:textAlignment w:val="center"/>
    </w:pPr>
    <w:rPr>
      <w:rFonts w:ascii="Tahoma" w:eastAsia="Times New Roman" w:hAnsi="Tahoma" w:cs="Tahoma"/>
      <w:color w:val="000080"/>
      <w:sz w:val="18"/>
      <w:szCs w:val="18"/>
      <w:lang w:eastAsia="ru-RU"/>
    </w:rPr>
  </w:style>
  <w:style w:type="paragraph" w:customStyle="1" w:styleId="xl73">
    <w:name w:val="xl73"/>
    <w:basedOn w:val="a"/>
    <w:rsid w:val="0037367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styleId="a8">
    <w:name w:val="header"/>
    <w:basedOn w:val="a"/>
    <w:link w:val="a9"/>
    <w:uiPriority w:val="99"/>
    <w:unhideWhenUsed/>
    <w:rsid w:val="003736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367D"/>
  </w:style>
  <w:style w:type="paragraph" w:styleId="aa">
    <w:name w:val="footer"/>
    <w:basedOn w:val="a"/>
    <w:link w:val="ab"/>
    <w:uiPriority w:val="99"/>
    <w:unhideWhenUsed/>
    <w:rsid w:val="003736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3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03C"/>
    <w:rPr>
      <w:rFonts w:ascii="Tahoma" w:hAnsi="Tahoma" w:cs="Tahoma"/>
      <w:sz w:val="16"/>
      <w:szCs w:val="16"/>
    </w:rPr>
  </w:style>
  <w:style w:type="paragraph" w:styleId="a5">
    <w:name w:val="No Spacing"/>
    <w:uiPriority w:val="1"/>
    <w:qFormat/>
    <w:rsid w:val="0095703C"/>
    <w:pPr>
      <w:spacing w:after="0" w:line="240" w:lineRule="auto"/>
    </w:pPr>
  </w:style>
  <w:style w:type="character" w:styleId="a6">
    <w:name w:val="Hyperlink"/>
    <w:basedOn w:val="a0"/>
    <w:uiPriority w:val="99"/>
    <w:semiHidden/>
    <w:unhideWhenUsed/>
    <w:rsid w:val="0037367D"/>
    <w:rPr>
      <w:color w:val="0000FF"/>
      <w:u w:val="single"/>
    </w:rPr>
  </w:style>
  <w:style w:type="character" w:styleId="a7">
    <w:name w:val="FollowedHyperlink"/>
    <w:basedOn w:val="a0"/>
    <w:uiPriority w:val="99"/>
    <w:semiHidden/>
    <w:unhideWhenUsed/>
    <w:rsid w:val="0037367D"/>
    <w:rPr>
      <w:color w:val="800080"/>
      <w:u w:val="single"/>
    </w:rPr>
  </w:style>
  <w:style w:type="paragraph" w:customStyle="1" w:styleId="xl65">
    <w:name w:val="xl65"/>
    <w:basedOn w:val="a"/>
    <w:rsid w:val="0037367D"/>
    <w:pPr>
      <w:pBdr>
        <w:top w:val="single" w:sz="4" w:space="0" w:color="C0C0C0"/>
        <w:left w:val="single" w:sz="4" w:space="0" w:color="C0C0C0"/>
        <w:bottom w:val="single" w:sz="4" w:space="0" w:color="C0C0C0"/>
        <w:right w:val="single" w:sz="4" w:space="0" w:color="C0C0C0"/>
      </w:pBdr>
      <w:shd w:val="clear" w:color="000000" w:fill="889CCF"/>
      <w:spacing w:before="100" w:beforeAutospacing="1" w:after="100" w:afterAutospacing="1" w:line="240" w:lineRule="auto"/>
      <w:jc w:val="center"/>
      <w:textAlignment w:val="center"/>
    </w:pPr>
    <w:rPr>
      <w:rFonts w:ascii="Tahoma" w:eastAsia="Times New Roman" w:hAnsi="Tahoma" w:cs="Tahoma"/>
      <w:b/>
      <w:bCs/>
      <w:color w:val="FFFFFF"/>
      <w:sz w:val="18"/>
      <w:szCs w:val="18"/>
      <w:lang w:eastAsia="ru-RU"/>
    </w:rPr>
  </w:style>
  <w:style w:type="paragraph" w:customStyle="1" w:styleId="xl66">
    <w:name w:val="xl66"/>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textAlignment w:val="center"/>
    </w:pPr>
    <w:rPr>
      <w:rFonts w:ascii="Tahoma" w:eastAsia="Times New Roman" w:hAnsi="Tahoma" w:cs="Tahoma"/>
      <w:color w:val="000080"/>
      <w:sz w:val="18"/>
      <w:szCs w:val="18"/>
      <w:lang w:eastAsia="ru-RU"/>
    </w:rPr>
  </w:style>
  <w:style w:type="paragraph" w:customStyle="1" w:styleId="xl67">
    <w:name w:val="xl67"/>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68">
    <w:name w:val="xl68"/>
    <w:basedOn w:val="a"/>
    <w:rsid w:val="0037367D"/>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line="240" w:lineRule="auto"/>
      <w:ind w:firstLineChars="100" w:firstLine="100"/>
      <w:textAlignment w:val="center"/>
    </w:pPr>
    <w:rPr>
      <w:rFonts w:ascii="Tahoma" w:eastAsia="Times New Roman" w:hAnsi="Tahoma" w:cs="Tahoma"/>
      <w:color w:val="000080"/>
      <w:sz w:val="18"/>
      <w:szCs w:val="18"/>
      <w:lang w:eastAsia="ru-RU"/>
    </w:rPr>
  </w:style>
  <w:style w:type="paragraph" w:customStyle="1" w:styleId="xl69">
    <w:name w:val="xl69"/>
    <w:basedOn w:val="a"/>
    <w:rsid w:val="0037367D"/>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line="240" w:lineRule="auto"/>
      <w:ind w:firstLineChars="200" w:firstLine="200"/>
      <w:textAlignment w:val="center"/>
    </w:pPr>
    <w:rPr>
      <w:rFonts w:ascii="Tahoma" w:eastAsia="Times New Roman" w:hAnsi="Tahoma" w:cs="Tahoma"/>
      <w:color w:val="000080"/>
      <w:sz w:val="18"/>
      <w:szCs w:val="18"/>
      <w:lang w:eastAsia="ru-RU"/>
    </w:rPr>
  </w:style>
  <w:style w:type="paragraph" w:customStyle="1" w:styleId="xl70">
    <w:name w:val="xl70"/>
    <w:basedOn w:val="a"/>
    <w:rsid w:val="0037367D"/>
    <w:pPr>
      <w:pBdr>
        <w:top w:val="single" w:sz="4" w:space="0" w:color="C0C0C0"/>
        <w:left w:val="single" w:sz="4" w:space="27" w:color="C0C0C0"/>
        <w:bottom w:val="single" w:sz="4" w:space="0" w:color="C0C0C0"/>
        <w:right w:val="single" w:sz="4" w:space="0" w:color="C0C0C0"/>
      </w:pBdr>
      <w:shd w:val="clear" w:color="000000" w:fill="F3F3F3"/>
      <w:spacing w:before="100" w:beforeAutospacing="1" w:after="100" w:afterAutospacing="1" w:line="240" w:lineRule="auto"/>
      <w:ind w:firstLineChars="300" w:firstLine="300"/>
      <w:textAlignment w:val="center"/>
    </w:pPr>
    <w:rPr>
      <w:rFonts w:ascii="Tahoma" w:eastAsia="Times New Roman" w:hAnsi="Tahoma" w:cs="Tahoma"/>
      <w:color w:val="000080"/>
      <w:sz w:val="18"/>
      <w:szCs w:val="18"/>
      <w:lang w:eastAsia="ru-RU"/>
    </w:rPr>
  </w:style>
  <w:style w:type="paragraph" w:customStyle="1" w:styleId="xl71">
    <w:name w:val="xl71"/>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37367D"/>
    <w:pPr>
      <w:pBdr>
        <w:top w:val="single" w:sz="4" w:space="0" w:color="C0C0C0"/>
        <w:left w:val="single" w:sz="4" w:space="31" w:color="C0C0C0"/>
        <w:bottom w:val="single" w:sz="4" w:space="0" w:color="C0C0C0"/>
        <w:right w:val="single" w:sz="4" w:space="0" w:color="C0C0C0"/>
      </w:pBdr>
      <w:shd w:val="clear" w:color="000000" w:fill="F3F3F3"/>
      <w:spacing w:before="100" w:beforeAutospacing="1" w:after="100" w:afterAutospacing="1" w:line="240" w:lineRule="auto"/>
      <w:ind w:firstLineChars="400" w:firstLine="400"/>
      <w:textAlignment w:val="center"/>
    </w:pPr>
    <w:rPr>
      <w:rFonts w:ascii="Tahoma" w:eastAsia="Times New Roman" w:hAnsi="Tahoma" w:cs="Tahoma"/>
      <w:color w:val="000080"/>
      <w:sz w:val="18"/>
      <w:szCs w:val="18"/>
      <w:lang w:eastAsia="ru-RU"/>
    </w:rPr>
  </w:style>
  <w:style w:type="paragraph" w:customStyle="1" w:styleId="xl73">
    <w:name w:val="xl73"/>
    <w:basedOn w:val="a"/>
    <w:rsid w:val="0037367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styleId="a8">
    <w:name w:val="header"/>
    <w:basedOn w:val="a"/>
    <w:link w:val="a9"/>
    <w:uiPriority w:val="99"/>
    <w:unhideWhenUsed/>
    <w:rsid w:val="003736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367D"/>
  </w:style>
  <w:style w:type="paragraph" w:styleId="aa">
    <w:name w:val="footer"/>
    <w:basedOn w:val="a"/>
    <w:link w:val="ab"/>
    <w:uiPriority w:val="99"/>
    <w:unhideWhenUsed/>
    <w:rsid w:val="003736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2112-C042-4C4C-89C4-09112219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5152</Words>
  <Characters>29370</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Неелова</dc:creator>
  <cp:lastModifiedBy>Admin</cp:lastModifiedBy>
  <cp:revision>2</cp:revision>
  <cp:lastPrinted>2016-10-18T02:40:00Z</cp:lastPrinted>
  <dcterms:created xsi:type="dcterms:W3CDTF">2018-09-21T06:51:00Z</dcterms:created>
  <dcterms:modified xsi:type="dcterms:W3CDTF">2018-09-21T06:51:00Z</dcterms:modified>
</cp:coreProperties>
</file>