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360"/>
        <w:gridCol w:w="6159"/>
        <w:gridCol w:w="2226"/>
        <w:gridCol w:w="1315"/>
        <w:gridCol w:w="1372"/>
        <w:gridCol w:w="1240"/>
      </w:tblGrid>
      <w:tr w:rsidR="009078C1" w:rsidRPr="008D198C" w:rsidTr="00BB75E1">
        <w:tc>
          <w:tcPr>
            <w:tcW w:w="538" w:type="dxa"/>
            <w:vMerge w:val="restart"/>
            <w:shd w:val="clear" w:color="auto" w:fill="auto"/>
            <w:vAlign w:val="center"/>
          </w:tcPr>
          <w:p w:rsidR="009078C1" w:rsidRPr="008D198C" w:rsidRDefault="009078C1" w:rsidP="00490A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98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D198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D198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360" w:type="dxa"/>
            <w:vMerge w:val="restart"/>
            <w:shd w:val="clear" w:color="auto" w:fill="auto"/>
            <w:vAlign w:val="center"/>
          </w:tcPr>
          <w:p w:rsidR="009078C1" w:rsidRPr="008D198C" w:rsidRDefault="009078C1" w:rsidP="00490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98C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6159" w:type="dxa"/>
            <w:vMerge w:val="restart"/>
            <w:shd w:val="clear" w:color="auto" w:fill="FFFFFF" w:themeFill="background1"/>
            <w:vAlign w:val="center"/>
          </w:tcPr>
          <w:p w:rsidR="009078C1" w:rsidRPr="008D198C" w:rsidRDefault="00210AEE" w:rsidP="00AA5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078C1">
              <w:rPr>
                <w:rFonts w:ascii="Times New Roman" w:hAnsi="Times New Roman" w:cs="Times New Roman"/>
                <w:sz w:val="16"/>
                <w:szCs w:val="16"/>
              </w:rPr>
              <w:t>сполнени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9078C1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="00AA5D3C">
              <w:rPr>
                <w:rFonts w:ascii="Times New Roman" w:hAnsi="Times New Roman" w:cs="Times New Roman"/>
                <w:sz w:val="16"/>
                <w:szCs w:val="16"/>
              </w:rPr>
              <w:t>отчетном</w:t>
            </w:r>
            <w:r w:rsidR="009078C1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4913" w:type="dxa"/>
            <w:gridSpan w:val="3"/>
            <w:shd w:val="clear" w:color="auto" w:fill="auto"/>
            <w:vAlign w:val="center"/>
          </w:tcPr>
          <w:p w:rsidR="009078C1" w:rsidRPr="008D198C" w:rsidRDefault="009078C1" w:rsidP="00490A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98C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мероприятия</w:t>
            </w:r>
          </w:p>
        </w:tc>
        <w:tc>
          <w:tcPr>
            <w:tcW w:w="1240" w:type="dxa"/>
          </w:tcPr>
          <w:p w:rsidR="009078C1" w:rsidRPr="008D198C" w:rsidRDefault="009078C1" w:rsidP="00490A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78C1" w:rsidRPr="008D198C" w:rsidTr="00BB75E1">
        <w:tc>
          <w:tcPr>
            <w:tcW w:w="538" w:type="dxa"/>
            <w:vMerge/>
            <w:shd w:val="clear" w:color="auto" w:fill="auto"/>
            <w:vAlign w:val="center"/>
          </w:tcPr>
          <w:p w:rsidR="009078C1" w:rsidRPr="008D198C" w:rsidRDefault="009078C1" w:rsidP="00490A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</w:tcPr>
          <w:p w:rsidR="009078C1" w:rsidRPr="008D198C" w:rsidRDefault="009078C1" w:rsidP="00490A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9" w:type="dxa"/>
            <w:vMerge/>
            <w:shd w:val="clear" w:color="auto" w:fill="FFFFFF" w:themeFill="background1"/>
            <w:vAlign w:val="center"/>
          </w:tcPr>
          <w:p w:rsidR="009078C1" w:rsidRPr="008D198C" w:rsidRDefault="009078C1" w:rsidP="00490A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9078C1" w:rsidRPr="008D198C" w:rsidRDefault="009078C1" w:rsidP="00173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98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реализации </w:t>
            </w:r>
            <w:r w:rsidR="0017330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D198C">
              <w:rPr>
                <w:rFonts w:ascii="Times New Roman" w:hAnsi="Times New Roman" w:cs="Times New Roman"/>
                <w:sz w:val="16"/>
                <w:szCs w:val="16"/>
              </w:rPr>
              <w:t>тратегии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078C1" w:rsidRPr="008D198C" w:rsidRDefault="009078C1" w:rsidP="00173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98C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показателя реализации </w:t>
            </w:r>
            <w:r w:rsidR="0017330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D198C">
              <w:rPr>
                <w:rFonts w:ascii="Times New Roman" w:hAnsi="Times New Roman" w:cs="Times New Roman"/>
                <w:sz w:val="16"/>
                <w:szCs w:val="16"/>
              </w:rPr>
              <w:t>тратегии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078C1" w:rsidRPr="008D198C" w:rsidRDefault="009078C1" w:rsidP="00173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98C">
              <w:rPr>
                <w:rFonts w:ascii="Times New Roman" w:hAnsi="Times New Roman" w:cs="Times New Roman"/>
                <w:sz w:val="16"/>
                <w:szCs w:val="16"/>
              </w:rPr>
              <w:t xml:space="preserve">плановое значение показателя реализации </w:t>
            </w:r>
            <w:r w:rsidR="0017330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D198C">
              <w:rPr>
                <w:rFonts w:ascii="Times New Roman" w:hAnsi="Times New Roman" w:cs="Times New Roman"/>
                <w:sz w:val="16"/>
                <w:szCs w:val="16"/>
              </w:rPr>
              <w:t>тратегии</w:t>
            </w:r>
          </w:p>
        </w:tc>
        <w:tc>
          <w:tcPr>
            <w:tcW w:w="1240" w:type="dxa"/>
          </w:tcPr>
          <w:p w:rsidR="009078C1" w:rsidRPr="008D198C" w:rsidRDefault="009078C1" w:rsidP="00173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</w:t>
            </w:r>
            <w:r w:rsidRPr="008D198C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реализации </w:t>
            </w:r>
            <w:r w:rsidR="0017330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D198C">
              <w:rPr>
                <w:rFonts w:ascii="Times New Roman" w:hAnsi="Times New Roman" w:cs="Times New Roman"/>
                <w:sz w:val="16"/>
                <w:szCs w:val="16"/>
              </w:rPr>
              <w:t>тратегии</w:t>
            </w:r>
          </w:p>
        </w:tc>
      </w:tr>
    </w:tbl>
    <w:p w:rsidR="00490A15" w:rsidRPr="00A0184B" w:rsidRDefault="00490A15">
      <w:pPr>
        <w:rPr>
          <w:sz w:val="2"/>
          <w:szCs w:val="2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352"/>
        <w:gridCol w:w="6131"/>
        <w:gridCol w:w="14"/>
        <w:gridCol w:w="2240"/>
        <w:gridCol w:w="1315"/>
        <w:gridCol w:w="1372"/>
        <w:gridCol w:w="1240"/>
      </w:tblGrid>
      <w:tr w:rsidR="009078C1" w:rsidRPr="008D198C" w:rsidTr="00547E3A">
        <w:trPr>
          <w:trHeight w:val="161"/>
          <w:tblHeader/>
        </w:trPr>
        <w:tc>
          <w:tcPr>
            <w:tcW w:w="566" w:type="dxa"/>
            <w:vAlign w:val="center"/>
          </w:tcPr>
          <w:p w:rsidR="009078C1" w:rsidRPr="008D198C" w:rsidRDefault="009078C1" w:rsidP="00A42D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9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2" w:type="dxa"/>
            <w:vAlign w:val="center"/>
          </w:tcPr>
          <w:p w:rsidR="009078C1" w:rsidRPr="008D198C" w:rsidRDefault="009078C1" w:rsidP="00A42D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9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45" w:type="dxa"/>
            <w:gridSpan w:val="2"/>
            <w:vAlign w:val="center"/>
          </w:tcPr>
          <w:p w:rsidR="009078C1" w:rsidRPr="008D198C" w:rsidRDefault="009078C1" w:rsidP="00A42D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9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40" w:type="dxa"/>
            <w:vAlign w:val="center"/>
          </w:tcPr>
          <w:p w:rsidR="009078C1" w:rsidRPr="008D198C" w:rsidRDefault="009078C1" w:rsidP="00A42D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98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15" w:type="dxa"/>
            <w:vAlign w:val="center"/>
          </w:tcPr>
          <w:p w:rsidR="009078C1" w:rsidRPr="008D198C" w:rsidRDefault="009078C1" w:rsidP="00A42D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98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72" w:type="dxa"/>
            <w:vAlign w:val="center"/>
          </w:tcPr>
          <w:p w:rsidR="009078C1" w:rsidRPr="008D198C" w:rsidRDefault="009078C1" w:rsidP="00A42D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98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0" w:type="dxa"/>
          </w:tcPr>
          <w:p w:rsidR="009078C1" w:rsidRPr="008D198C" w:rsidRDefault="009078C1" w:rsidP="00A42D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078C1" w:rsidRPr="008D198C" w:rsidTr="0016036D">
        <w:trPr>
          <w:trHeight w:val="147"/>
        </w:trPr>
        <w:tc>
          <w:tcPr>
            <w:tcW w:w="13990" w:type="dxa"/>
            <w:gridSpan w:val="7"/>
          </w:tcPr>
          <w:p w:rsidR="009078C1" w:rsidRPr="008D198C" w:rsidRDefault="009078C1" w:rsidP="009325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98C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240" w:type="dxa"/>
          </w:tcPr>
          <w:p w:rsidR="009078C1" w:rsidRPr="008D198C" w:rsidRDefault="009078C1" w:rsidP="009325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78C1" w:rsidRPr="008D198C" w:rsidTr="0016036D">
        <w:trPr>
          <w:trHeight w:val="331"/>
        </w:trPr>
        <w:tc>
          <w:tcPr>
            <w:tcW w:w="13990" w:type="dxa"/>
            <w:gridSpan w:val="7"/>
          </w:tcPr>
          <w:p w:rsidR="009078C1" w:rsidRPr="008D198C" w:rsidRDefault="009078C1" w:rsidP="009325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98C">
              <w:rPr>
                <w:rFonts w:ascii="Times New Roman" w:hAnsi="Times New Roman" w:cs="Times New Roman"/>
                <w:sz w:val="16"/>
                <w:szCs w:val="16"/>
              </w:rPr>
              <w:t xml:space="preserve">Цель социально-экономического развития города: </w:t>
            </w:r>
          </w:p>
          <w:p w:rsidR="009078C1" w:rsidRPr="008D198C" w:rsidRDefault="009078C1" w:rsidP="009325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98C">
              <w:rPr>
                <w:rFonts w:ascii="Times New Roman" w:hAnsi="Times New Roman" w:cs="Times New Roman"/>
                <w:sz w:val="16"/>
                <w:szCs w:val="16"/>
              </w:rPr>
              <w:t>обеспечение устойчивого социального и экономического развития города Невинномысска</w:t>
            </w:r>
          </w:p>
        </w:tc>
        <w:tc>
          <w:tcPr>
            <w:tcW w:w="1240" w:type="dxa"/>
          </w:tcPr>
          <w:p w:rsidR="009078C1" w:rsidRPr="008D198C" w:rsidRDefault="009078C1" w:rsidP="009325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78C1" w:rsidRPr="008D198C" w:rsidTr="0016036D">
        <w:trPr>
          <w:trHeight w:val="273"/>
        </w:trPr>
        <w:tc>
          <w:tcPr>
            <w:tcW w:w="13990" w:type="dxa"/>
            <w:gridSpan w:val="7"/>
          </w:tcPr>
          <w:p w:rsidR="009078C1" w:rsidRPr="008D198C" w:rsidRDefault="009078C1" w:rsidP="009325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98C">
              <w:rPr>
                <w:rFonts w:ascii="Times New Roman" w:hAnsi="Times New Roman" w:cs="Times New Roman"/>
                <w:sz w:val="16"/>
                <w:szCs w:val="16"/>
              </w:rPr>
              <w:t>Задача 1 социально-экономического развития города:</w:t>
            </w:r>
          </w:p>
          <w:p w:rsidR="009078C1" w:rsidRPr="008D198C" w:rsidRDefault="009078C1" w:rsidP="009325CC">
            <w:pPr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создание условий для повышения уровня и качества жизни населения города Невинномысска</w:t>
            </w:r>
          </w:p>
        </w:tc>
        <w:tc>
          <w:tcPr>
            <w:tcW w:w="1240" w:type="dxa"/>
          </w:tcPr>
          <w:p w:rsidR="009078C1" w:rsidRPr="008D198C" w:rsidRDefault="009078C1" w:rsidP="009325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6CD" w:rsidRPr="008D198C" w:rsidTr="000636CD">
        <w:trPr>
          <w:trHeight w:val="1522"/>
        </w:trPr>
        <w:tc>
          <w:tcPr>
            <w:tcW w:w="566" w:type="dxa"/>
            <w:vMerge w:val="restart"/>
          </w:tcPr>
          <w:p w:rsidR="000636CD" w:rsidRPr="008D198C" w:rsidRDefault="000636CD" w:rsidP="00490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98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52" w:type="dxa"/>
            <w:vMerge w:val="restart"/>
          </w:tcPr>
          <w:p w:rsidR="000636CD" w:rsidRPr="008D198C" w:rsidRDefault="000636CD" w:rsidP="009325CC">
            <w:pPr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Реализация мероприятий муниципальной программы «Социальная поддержка граждан в городе Невинномысске» программы «Комплексное развитие моногорода Невинномысска»,</w:t>
            </w:r>
          </w:p>
          <w:p w:rsidR="000636CD" w:rsidRPr="008D198C" w:rsidRDefault="000636CD" w:rsidP="009325C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98C">
              <w:rPr>
                <w:rFonts w:ascii="Times New Roman" w:hAnsi="Times New Roman" w:cs="Times New Roman"/>
                <w:sz w:val="16"/>
                <w:szCs w:val="16"/>
              </w:rPr>
              <w:t>развитие рынка труда</w:t>
            </w:r>
          </w:p>
        </w:tc>
        <w:tc>
          <w:tcPr>
            <w:tcW w:w="6131" w:type="dxa"/>
            <w:vMerge w:val="restart"/>
            <w:shd w:val="clear" w:color="auto" w:fill="auto"/>
          </w:tcPr>
          <w:p w:rsidR="000636CD" w:rsidRDefault="000636CD" w:rsidP="000B513A">
            <w:pPr>
              <w:suppressAutoHyphens/>
              <w:ind w:firstLine="343"/>
              <w:jc w:val="both"/>
              <w:rPr>
                <w:sz w:val="16"/>
                <w:szCs w:val="16"/>
              </w:rPr>
            </w:pPr>
            <w:r w:rsidRPr="00C47B5B">
              <w:rPr>
                <w:sz w:val="16"/>
                <w:szCs w:val="16"/>
              </w:rPr>
              <w:t xml:space="preserve">Согласно статистическим сведениям по состоянию на 01 января 2018 г. численность населения на 0,2 % меньше численности населения на 01 января 2017 г. (117446 и 117676 человек соответственно). В отчетном 2018 году миграция населения достигла отрицательных значений: миграционная убыль за 2018 год </w:t>
            </w:r>
            <w:r w:rsidR="00E23455">
              <w:rPr>
                <w:sz w:val="16"/>
                <w:szCs w:val="16"/>
              </w:rPr>
              <w:t>–</w:t>
            </w:r>
            <w:r w:rsidRPr="00C47B5B">
              <w:rPr>
                <w:sz w:val="16"/>
                <w:szCs w:val="16"/>
              </w:rPr>
              <w:t xml:space="preserve"> </w:t>
            </w:r>
            <w:r w:rsidR="00E23455">
              <w:rPr>
                <w:sz w:val="16"/>
                <w:szCs w:val="16"/>
              </w:rPr>
              <w:t xml:space="preserve">254 </w:t>
            </w:r>
            <w:r w:rsidRPr="00C47B5B">
              <w:rPr>
                <w:sz w:val="16"/>
                <w:szCs w:val="16"/>
              </w:rPr>
              <w:t>человек</w:t>
            </w:r>
            <w:r w:rsidR="00E23455">
              <w:rPr>
                <w:sz w:val="16"/>
                <w:szCs w:val="16"/>
              </w:rPr>
              <w:t>а</w:t>
            </w:r>
            <w:r w:rsidRPr="00C47B5B">
              <w:rPr>
                <w:sz w:val="16"/>
                <w:szCs w:val="16"/>
              </w:rPr>
              <w:t xml:space="preserve"> (для сравнения: за аналогичный период 2017 года - миграционный прирост в</w:t>
            </w:r>
            <w:r w:rsidR="00495AE9">
              <w:rPr>
                <w:sz w:val="16"/>
                <w:szCs w:val="16"/>
              </w:rPr>
              <w:t xml:space="preserve">                     </w:t>
            </w:r>
            <w:r w:rsidRPr="00C47B5B">
              <w:rPr>
                <w:sz w:val="16"/>
                <w:szCs w:val="16"/>
              </w:rPr>
              <w:t xml:space="preserve"> </w:t>
            </w:r>
            <w:r w:rsidR="00E23455">
              <w:rPr>
                <w:sz w:val="16"/>
                <w:szCs w:val="16"/>
              </w:rPr>
              <w:t>72</w:t>
            </w:r>
            <w:r w:rsidRPr="00C47B5B">
              <w:rPr>
                <w:sz w:val="16"/>
                <w:szCs w:val="16"/>
              </w:rPr>
              <w:t xml:space="preserve"> человек</w:t>
            </w:r>
            <w:r w:rsidR="00E23455">
              <w:rPr>
                <w:sz w:val="16"/>
                <w:szCs w:val="16"/>
              </w:rPr>
              <w:t>а</w:t>
            </w:r>
            <w:r w:rsidRPr="00C47B5B">
              <w:rPr>
                <w:sz w:val="16"/>
                <w:szCs w:val="16"/>
              </w:rPr>
              <w:t xml:space="preserve">). Большая часть выбывших граждан (64,85 %) - отъезжающие в другие регионы Российской Федерации. Пребывают, в основном, граждане, проживающие на территории Российской Федерации (98,53 %). Смертность за 10 месяцев 2018 года превысила рождаемость на 254 человека, коэффициент естественного прироста имеет отрицательное значение (-2,9). </w:t>
            </w:r>
          </w:p>
          <w:p w:rsidR="006E267B" w:rsidRDefault="006E71B7" w:rsidP="005926BB">
            <w:pPr>
              <w:ind w:firstLine="34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целью повышения качества жизни граждан в 2018 году реализовывалась </w:t>
            </w:r>
            <w:r w:rsidR="006E267B" w:rsidRPr="006E267B">
              <w:rPr>
                <w:sz w:val="16"/>
                <w:szCs w:val="16"/>
              </w:rPr>
              <w:t>муниципальн</w:t>
            </w:r>
            <w:r>
              <w:rPr>
                <w:sz w:val="16"/>
                <w:szCs w:val="16"/>
              </w:rPr>
              <w:t>ая</w:t>
            </w:r>
            <w:r w:rsidR="006E267B" w:rsidRPr="008D198C">
              <w:rPr>
                <w:sz w:val="16"/>
                <w:szCs w:val="16"/>
              </w:rPr>
              <w:t xml:space="preserve"> программ</w:t>
            </w:r>
            <w:r>
              <w:rPr>
                <w:sz w:val="16"/>
                <w:szCs w:val="16"/>
              </w:rPr>
              <w:t>а</w:t>
            </w:r>
            <w:r w:rsidR="006E267B" w:rsidRPr="008D198C">
              <w:rPr>
                <w:sz w:val="16"/>
                <w:szCs w:val="16"/>
              </w:rPr>
              <w:t xml:space="preserve"> «Социальная поддержка граждан в городе Невинномысске» </w:t>
            </w:r>
            <w:r>
              <w:rPr>
                <w:sz w:val="16"/>
                <w:szCs w:val="16"/>
              </w:rPr>
              <w:t>(</w:t>
            </w:r>
            <w:r w:rsidR="006E267B">
              <w:rPr>
                <w:sz w:val="16"/>
                <w:szCs w:val="16"/>
              </w:rPr>
              <w:t>израсходовано 538,385,41 тыс. рублей</w:t>
            </w:r>
            <w:r>
              <w:rPr>
                <w:sz w:val="16"/>
                <w:szCs w:val="16"/>
              </w:rPr>
              <w:t>)</w:t>
            </w:r>
            <w:r w:rsidR="006E267B">
              <w:rPr>
                <w:sz w:val="16"/>
                <w:szCs w:val="16"/>
              </w:rPr>
              <w:t>.</w:t>
            </w:r>
          </w:p>
          <w:p w:rsidR="000636CD" w:rsidRPr="005926BB" w:rsidRDefault="000636CD" w:rsidP="005926BB">
            <w:pPr>
              <w:ind w:firstLine="343"/>
              <w:jc w:val="both"/>
              <w:rPr>
                <w:sz w:val="16"/>
                <w:szCs w:val="16"/>
              </w:rPr>
            </w:pPr>
            <w:r w:rsidRPr="005926BB">
              <w:rPr>
                <w:sz w:val="16"/>
                <w:szCs w:val="16"/>
              </w:rPr>
              <w:t>В 2018 году численность получателей различных мер социальной поддержки составляет 42,7 тыс. человек. Это - ветераны труда и ветераны труда Ставропольского края, труженики тыла, инвалиды, ветераны Великой Отечественной войны, многодетные и малоимущие семьи и другие категории</w:t>
            </w:r>
            <w:r>
              <w:rPr>
                <w:sz w:val="16"/>
                <w:szCs w:val="16"/>
              </w:rPr>
              <w:t xml:space="preserve">. </w:t>
            </w:r>
            <w:r w:rsidRPr="005926BB">
              <w:rPr>
                <w:sz w:val="16"/>
                <w:szCs w:val="16"/>
              </w:rPr>
              <w:t xml:space="preserve">Компенсации на оплату жилищно-коммунальных услуг в 2018 году получали 12,7 тыс. человек; субсидии на оплату жилищно-коммунальных услуг – 1,9 тыс. семей; компенсацию на оплату взноса на </w:t>
            </w:r>
            <w:proofErr w:type="spellStart"/>
            <w:r w:rsidRPr="005926BB">
              <w:rPr>
                <w:sz w:val="16"/>
                <w:szCs w:val="16"/>
              </w:rPr>
              <w:t>кап</w:t>
            </w:r>
            <w:proofErr w:type="gramStart"/>
            <w:r w:rsidRPr="005926BB">
              <w:rPr>
                <w:sz w:val="16"/>
                <w:szCs w:val="16"/>
              </w:rPr>
              <w:t>.р</w:t>
            </w:r>
            <w:proofErr w:type="gramEnd"/>
            <w:r w:rsidRPr="005926BB">
              <w:rPr>
                <w:sz w:val="16"/>
                <w:szCs w:val="16"/>
              </w:rPr>
              <w:t>емонт</w:t>
            </w:r>
            <w:proofErr w:type="spellEnd"/>
            <w:r w:rsidRPr="005926BB">
              <w:rPr>
                <w:sz w:val="16"/>
                <w:szCs w:val="16"/>
              </w:rPr>
              <w:t xml:space="preserve"> - 1,8 тыс. человек; ежемесячные денежные выплаты - 12,7 тыс. региональных льготников; ежегодная денежная выплата произведена 476 донорам; пособия семьям с детьми выплачены 6,9 тыс. получателям на 11,4 тыс. детей.</w:t>
            </w:r>
          </w:p>
          <w:p w:rsidR="000636CD" w:rsidRPr="005926BB" w:rsidRDefault="000636CD" w:rsidP="005926BB">
            <w:pPr>
              <w:ind w:firstLine="343"/>
              <w:jc w:val="both"/>
              <w:rPr>
                <w:sz w:val="16"/>
                <w:szCs w:val="16"/>
              </w:rPr>
            </w:pPr>
            <w:r w:rsidRPr="005926BB">
              <w:rPr>
                <w:sz w:val="16"/>
                <w:szCs w:val="16"/>
              </w:rPr>
              <w:t xml:space="preserve">В 2018 году продолжена работа по назначению ежемесячной денежной выплаты нуждающимся в поддержке семьям, назначаемой в случае рождения в них после </w:t>
            </w:r>
            <w:r w:rsidR="00495AE9">
              <w:rPr>
                <w:sz w:val="16"/>
                <w:szCs w:val="16"/>
              </w:rPr>
              <w:t xml:space="preserve">             </w:t>
            </w:r>
            <w:r w:rsidRPr="005926BB">
              <w:rPr>
                <w:sz w:val="16"/>
                <w:szCs w:val="16"/>
              </w:rPr>
              <w:t xml:space="preserve">31 декабря 2012 года третьего ребенка или последующих детей. Выплата производится до достижения ребенком возраста трех лет, а право на получение указанной выплаты граждане должны подтверждать ежегодно. Численность получателей составила </w:t>
            </w:r>
            <w:r w:rsidR="00495AE9">
              <w:rPr>
                <w:sz w:val="16"/>
                <w:szCs w:val="16"/>
              </w:rPr>
              <w:t xml:space="preserve">               </w:t>
            </w:r>
            <w:r w:rsidRPr="005926BB">
              <w:rPr>
                <w:sz w:val="16"/>
                <w:szCs w:val="16"/>
              </w:rPr>
              <w:t xml:space="preserve">489 человек. </w:t>
            </w:r>
          </w:p>
          <w:p w:rsidR="000636CD" w:rsidRPr="005926BB" w:rsidRDefault="000636CD" w:rsidP="005926BB">
            <w:pPr>
              <w:ind w:firstLine="343"/>
              <w:jc w:val="both"/>
              <w:rPr>
                <w:sz w:val="16"/>
                <w:szCs w:val="16"/>
              </w:rPr>
            </w:pPr>
            <w:r w:rsidRPr="005926BB">
              <w:rPr>
                <w:sz w:val="16"/>
                <w:szCs w:val="16"/>
              </w:rPr>
              <w:t xml:space="preserve">В течение 2018 года продолжалась работа по признанию семей или одиноко проживающих граждан </w:t>
            </w:r>
            <w:proofErr w:type="gramStart"/>
            <w:r w:rsidRPr="005926BB">
              <w:rPr>
                <w:sz w:val="16"/>
                <w:szCs w:val="16"/>
              </w:rPr>
              <w:t>малоимущими</w:t>
            </w:r>
            <w:proofErr w:type="gramEnd"/>
            <w:r w:rsidRPr="005926BB">
              <w:rPr>
                <w:sz w:val="16"/>
                <w:szCs w:val="16"/>
              </w:rPr>
              <w:t xml:space="preserve"> и оказанию им помощи. В результате, </w:t>
            </w:r>
            <w:r w:rsidR="00495AE9">
              <w:rPr>
                <w:sz w:val="16"/>
                <w:szCs w:val="16"/>
              </w:rPr>
              <w:t xml:space="preserve">                      </w:t>
            </w:r>
            <w:r w:rsidRPr="005926BB">
              <w:rPr>
                <w:sz w:val="16"/>
                <w:szCs w:val="16"/>
              </w:rPr>
              <w:t xml:space="preserve">68 студентам из малоимущих семей выплачено социальное пособие на проезд, справки о праве на назначение социальной стипендии выданы 214 студентам, государственная социальная помощь назначена и выплачена 647 получателям. </w:t>
            </w:r>
          </w:p>
          <w:p w:rsidR="00495AE9" w:rsidRDefault="000636CD" w:rsidP="005926BB">
            <w:pPr>
              <w:ind w:firstLine="343"/>
              <w:jc w:val="both"/>
              <w:rPr>
                <w:sz w:val="16"/>
                <w:szCs w:val="16"/>
              </w:rPr>
            </w:pPr>
            <w:r w:rsidRPr="005926BB">
              <w:rPr>
                <w:sz w:val="16"/>
                <w:szCs w:val="16"/>
              </w:rPr>
              <w:t xml:space="preserve">Качественное улучшение положения инвалидов, в том числе детей с ограниченными возможностями здоровья, способствование созданию комфортных условий для проживания жителей города, испытывающих трудности в передвижении и общении, являются приоритетными направлениями работы. </w:t>
            </w:r>
            <w:r w:rsidR="00495AE9">
              <w:rPr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</w:p>
          <w:p w:rsidR="000636CD" w:rsidRPr="005926BB" w:rsidRDefault="000636CD" w:rsidP="005926BB">
            <w:pPr>
              <w:ind w:firstLine="343"/>
              <w:jc w:val="both"/>
              <w:rPr>
                <w:sz w:val="16"/>
                <w:szCs w:val="16"/>
              </w:rPr>
            </w:pPr>
            <w:r w:rsidRPr="005926BB">
              <w:rPr>
                <w:sz w:val="16"/>
                <w:szCs w:val="16"/>
              </w:rPr>
              <w:t xml:space="preserve">В настоящее время в городе проживает 11341 инвалид, в том числе 427 детей с </w:t>
            </w:r>
            <w:r w:rsidRPr="005926BB">
              <w:rPr>
                <w:sz w:val="16"/>
                <w:szCs w:val="16"/>
              </w:rPr>
              <w:lastRenderedPageBreak/>
              <w:t xml:space="preserve">ограниченными возможностями здоровья. </w:t>
            </w:r>
          </w:p>
          <w:p w:rsidR="000636CD" w:rsidRPr="005926BB" w:rsidRDefault="000636CD" w:rsidP="005926BB">
            <w:pPr>
              <w:ind w:firstLine="343"/>
              <w:jc w:val="both"/>
              <w:rPr>
                <w:sz w:val="16"/>
                <w:szCs w:val="16"/>
              </w:rPr>
            </w:pPr>
            <w:r w:rsidRPr="005926BB">
              <w:rPr>
                <w:sz w:val="16"/>
                <w:szCs w:val="16"/>
              </w:rPr>
              <w:t>В отчетном периоде продолжила свою работу служба «Социальное такси». В течение 2018 года выполнены 383 заявки граждан, относящихся к категории маломобильных групп населения.</w:t>
            </w:r>
          </w:p>
          <w:p w:rsidR="000636CD" w:rsidRPr="005926BB" w:rsidRDefault="000636CD" w:rsidP="005926BB">
            <w:pPr>
              <w:ind w:firstLine="343"/>
              <w:jc w:val="both"/>
              <w:rPr>
                <w:sz w:val="16"/>
                <w:szCs w:val="16"/>
              </w:rPr>
            </w:pPr>
            <w:r w:rsidRPr="005926BB">
              <w:rPr>
                <w:sz w:val="16"/>
                <w:szCs w:val="16"/>
              </w:rPr>
              <w:t xml:space="preserve">В 2018 году для тысячи детей из многодетных, малообеспеченных семей, детей-сирот и детей с ограниченными возможностями здоровья организовано и проведено </w:t>
            </w:r>
            <w:r w:rsidR="00495AE9">
              <w:rPr>
                <w:sz w:val="16"/>
                <w:szCs w:val="16"/>
              </w:rPr>
              <w:t xml:space="preserve">         </w:t>
            </w:r>
            <w:r w:rsidRPr="005926BB">
              <w:rPr>
                <w:sz w:val="16"/>
                <w:szCs w:val="16"/>
              </w:rPr>
              <w:t xml:space="preserve">31 социально-ориентированное мероприятие к новогодним праздникам, ко Дню семьи, к Международному Дню защиты детей, ко Дню борьбы с диабетом, Дню матери. Дети стали участниками театрализованных представлений, проводимых учреждениями культуры, посетили множество мастер-классов, побывали на праздниках семейно-развлекательных центров «Капитан </w:t>
            </w:r>
            <w:proofErr w:type="spellStart"/>
            <w:r w:rsidRPr="005926BB">
              <w:rPr>
                <w:sz w:val="16"/>
                <w:szCs w:val="16"/>
              </w:rPr>
              <w:t>Врунгель</w:t>
            </w:r>
            <w:proofErr w:type="spellEnd"/>
            <w:r w:rsidRPr="005926BB">
              <w:rPr>
                <w:sz w:val="16"/>
                <w:szCs w:val="16"/>
              </w:rPr>
              <w:t xml:space="preserve">», «Емеля» и «Радуга чудес», получили подарки и угощения. </w:t>
            </w:r>
          </w:p>
          <w:p w:rsidR="000636CD" w:rsidRPr="005926BB" w:rsidRDefault="000636CD" w:rsidP="005926BB">
            <w:pPr>
              <w:ind w:firstLine="343"/>
              <w:jc w:val="both"/>
              <w:rPr>
                <w:sz w:val="16"/>
                <w:szCs w:val="16"/>
              </w:rPr>
            </w:pPr>
            <w:r w:rsidRPr="005926BB">
              <w:rPr>
                <w:sz w:val="16"/>
                <w:szCs w:val="16"/>
              </w:rPr>
              <w:t xml:space="preserve">Проблема сиротства продолжает оставаться в центре внимания государства и общественности и является важной составляющей долгосрочной государственной стратегии по защите прав детей. Детское население города составляет 24,2 тыс. человек. Под опекой и попечительством сегодня находятся 164 ребенка-сироты и детей, оставшихся без попечения родителей; в приемных семьях – 45 детей (20 семей); в семьях усыновителей – 37 детей. В течение 2018 года выявлено и учтено 23 ребенка-сироты и ребенка, оставшегося без попечения родителей. </w:t>
            </w:r>
            <w:proofErr w:type="gramStart"/>
            <w:r w:rsidRPr="005926BB">
              <w:rPr>
                <w:sz w:val="16"/>
                <w:szCs w:val="16"/>
              </w:rPr>
              <w:t>В результате проведенной работы 5 детей усыновлены, 17 оформлены под опеку (попечительство), 1 ребенок определен в профессиональное образовательное учреждение.</w:t>
            </w:r>
            <w:proofErr w:type="gramEnd"/>
          </w:p>
          <w:p w:rsidR="000636CD" w:rsidRPr="005926BB" w:rsidRDefault="000636CD" w:rsidP="005926BB">
            <w:pPr>
              <w:ind w:firstLine="343"/>
              <w:jc w:val="both"/>
              <w:rPr>
                <w:sz w:val="16"/>
                <w:szCs w:val="16"/>
              </w:rPr>
            </w:pPr>
            <w:r w:rsidRPr="005926BB">
              <w:rPr>
                <w:sz w:val="16"/>
                <w:szCs w:val="16"/>
              </w:rPr>
              <w:t xml:space="preserve">Одним из наиболее актуальных вопросов в области защиты прав и законных интересов детей данной категории является обеспечение их жилыми помещениями. На 01.01.2019 года на учете состояло 238 детей-сирот, детей, оставшихся без попечения родителей, а также лиц из их числа, нуждающихся в обеспечении их жилыми помещениями, в возрасте от 0 до 23 лет и старше, имеющих право на обеспечение жилыми помещениями. На эту же дату в городе подлежат обеспечению жилыми помещениями и </w:t>
            </w:r>
            <w:proofErr w:type="gramStart"/>
            <w:r w:rsidRPr="005926BB">
              <w:rPr>
                <w:sz w:val="16"/>
                <w:szCs w:val="16"/>
              </w:rPr>
              <w:t>включены</w:t>
            </w:r>
            <w:proofErr w:type="gramEnd"/>
            <w:r w:rsidRPr="005926BB">
              <w:rPr>
                <w:sz w:val="16"/>
                <w:szCs w:val="16"/>
              </w:rPr>
              <w:t xml:space="preserve"> в сводный список 70 человек. В 2018 году жилье получили 12 детей. </w:t>
            </w:r>
          </w:p>
          <w:p w:rsidR="000636CD" w:rsidRDefault="000636CD" w:rsidP="005926BB">
            <w:pPr>
              <w:ind w:firstLine="343"/>
              <w:jc w:val="both"/>
              <w:rPr>
                <w:sz w:val="16"/>
                <w:szCs w:val="16"/>
              </w:rPr>
            </w:pPr>
            <w:proofErr w:type="gramStart"/>
            <w:r w:rsidRPr="005926BB">
              <w:rPr>
                <w:sz w:val="16"/>
                <w:szCs w:val="16"/>
              </w:rPr>
              <w:t>Численность недееспособных лиц на 01.01.2019 составила 205 человек, в ГСУСОН «Невинномысский психоневрологический интернат» проживает 182 недееспособных, 1 ограниченно дееспособный, 5 недееспособных граждан находятся в учреждениях здравоохранения.</w:t>
            </w:r>
            <w:proofErr w:type="gramEnd"/>
          </w:p>
          <w:p w:rsidR="000636CD" w:rsidRPr="006F1836" w:rsidRDefault="000636CD" w:rsidP="00C47B5B">
            <w:pPr>
              <w:ind w:firstLine="343"/>
              <w:jc w:val="both"/>
              <w:rPr>
                <w:sz w:val="16"/>
                <w:szCs w:val="16"/>
              </w:rPr>
            </w:pPr>
            <w:r w:rsidRPr="006F1836">
              <w:rPr>
                <w:sz w:val="16"/>
                <w:szCs w:val="16"/>
              </w:rPr>
              <w:t xml:space="preserve">За 2018 год в ГКУ «Центр занятости населения города Невинномысска» (далее - Центр занятости) поступила информация о планируемом высвобождении 158 работников с 40 предприятий и организаций. По состоянию на 01 января 2019 года на учете в Центре занятости состояло 90 работников, высвобожденных с 42 предприятий и организаций. За 2018 год выявлено 4574 работника, с которым не оформлены трудовые отношения. Со всеми выявленными работниками заключены трудовые договоры, что составило 101,02 % от контрольного показателя (4528 человек). </w:t>
            </w:r>
            <w:r w:rsidR="00495AE9">
              <w:rPr>
                <w:sz w:val="16"/>
                <w:szCs w:val="16"/>
              </w:rPr>
              <w:t xml:space="preserve">                          </w:t>
            </w:r>
            <w:r w:rsidRPr="006F1836">
              <w:rPr>
                <w:sz w:val="16"/>
                <w:szCs w:val="16"/>
              </w:rPr>
              <w:t xml:space="preserve">За 2018 год на предприятиях и в организациях города создано 798 рабочих мест. </w:t>
            </w:r>
          </w:p>
          <w:p w:rsidR="000636CD" w:rsidRPr="006F1836" w:rsidRDefault="000636CD" w:rsidP="00C47B5B">
            <w:pPr>
              <w:pStyle w:val="a8"/>
              <w:ind w:firstLine="343"/>
              <w:jc w:val="both"/>
              <w:rPr>
                <w:b w:val="0"/>
                <w:bCs w:val="0"/>
                <w:sz w:val="16"/>
                <w:szCs w:val="16"/>
              </w:rPr>
            </w:pPr>
            <w:r w:rsidRPr="006F1836">
              <w:rPr>
                <w:b w:val="0"/>
                <w:bCs w:val="0"/>
                <w:sz w:val="16"/>
                <w:szCs w:val="16"/>
              </w:rPr>
              <w:t>Для стабилизации ситуации на рынке труда в городе реализуются мероприятия программы «Развитие сферы труда и занятости населения Ставропольского края». На мероприятия активной политики израсходовано 1606,45 тыс. рублей.</w:t>
            </w:r>
            <w:r w:rsidR="006E71B7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6F1836">
              <w:rPr>
                <w:b w:val="0"/>
                <w:bCs w:val="0"/>
                <w:sz w:val="16"/>
                <w:szCs w:val="16"/>
              </w:rPr>
              <w:t xml:space="preserve">Участниками временных работ стали 19 человек из числа безработных граждан, испытывающих трудности в поиске работы. Приняли участие в общественных работах 20 человек. На временные рабочие места трудоустроен 471 несовершеннолетний гражданин. </w:t>
            </w:r>
          </w:p>
          <w:p w:rsidR="000636CD" w:rsidRPr="008D198C" w:rsidRDefault="000636CD" w:rsidP="00C446EA">
            <w:pPr>
              <w:suppressAutoHyphens/>
              <w:ind w:firstLine="343"/>
              <w:jc w:val="both"/>
              <w:rPr>
                <w:sz w:val="16"/>
                <w:szCs w:val="16"/>
              </w:rPr>
            </w:pPr>
            <w:r w:rsidRPr="00C47B5B">
              <w:rPr>
                <w:sz w:val="16"/>
                <w:szCs w:val="16"/>
              </w:rPr>
              <w:t>Среднесписочная численность работников крупных и средних организаций города за 2018 год сократилась на 0,9 % по сравнению с 2017 год</w:t>
            </w:r>
            <w:r>
              <w:rPr>
                <w:sz w:val="16"/>
                <w:szCs w:val="16"/>
              </w:rPr>
              <w:t>ом</w:t>
            </w:r>
            <w:r w:rsidRPr="00C47B5B">
              <w:rPr>
                <w:sz w:val="16"/>
                <w:szCs w:val="16"/>
              </w:rPr>
              <w:t xml:space="preserve"> (2355</w:t>
            </w:r>
            <w:r>
              <w:rPr>
                <w:sz w:val="16"/>
                <w:szCs w:val="16"/>
              </w:rPr>
              <w:t>7</w:t>
            </w:r>
            <w:r w:rsidRPr="00C47B5B">
              <w:rPr>
                <w:sz w:val="16"/>
                <w:szCs w:val="16"/>
              </w:rPr>
              <w:t xml:space="preserve"> человек). </w:t>
            </w:r>
            <w:r w:rsidRPr="00C47B5B">
              <w:rPr>
                <w:sz w:val="16"/>
                <w:szCs w:val="16"/>
              </w:rPr>
              <w:lastRenderedPageBreak/>
              <w:t xml:space="preserve">Средняя заработная плата по крупным и средним предприятиям города увеличилась на </w:t>
            </w:r>
            <w:r>
              <w:rPr>
                <w:sz w:val="16"/>
                <w:szCs w:val="16"/>
              </w:rPr>
              <w:t>5,6</w:t>
            </w:r>
            <w:r w:rsidRPr="00C47B5B">
              <w:rPr>
                <w:sz w:val="16"/>
                <w:szCs w:val="16"/>
              </w:rPr>
              <w:t xml:space="preserve"> % и составила </w:t>
            </w:r>
            <w:r>
              <w:rPr>
                <w:sz w:val="16"/>
                <w:szCs w:val="16"/>
              </w:rPr>
              <w:t>36884 рубля</w:t>
            </w:r>
            <w:r w:rsidRPr="00C47B5B">
              <w:rPr>
                <w:sz w:val="16"/>
                <w:szCs w:val="16"/>
              </w:rPr>
              <w:t xml:space="preserve">, что традиционно является самым высоким показателем в крае. По итогам 2018 года коэффициент напряженности на рынке труда составил 0,44, что на 0,16 пункта ниже уровня показателя по состоянию на 01 января 2018 года. Уровень безработицы - 0,59 %, что на 0,21 пункта ниже уровня показателя по состоянию на 01 января 2018 года и на 0,11 пункта ниже уровня показателя по Ставропольскому краю. Численность безработных снизилась на 196 человек </w:t>
            </w:r>
            <w:r w:rsidR="00327BAD">
              <w:rPr>
                <w:sz w:val="16"/>
                <w:szCs w:val="16"/>
              </w:rPr>
              <w:t xml:space="preserve">                  </w:t>
            </w:r>
            <w:r w:rsidRPr="00C47B5B">
              <w:rPr>
                <w:sz w:val="16"/>
                <w:szCs w:val="16"/>
              </w:rPr>
              <w:t xml:space="preserve">(479 человек). Численность занятых в экономике города составила 52470 человек, что на 148 человек выше уровня 2017 года. В структуре распределения занятых наиболее привлекательными сферами деятельности остается промышленность, торговля, предоставление услуг. </w:t>
            </w:r>
          </w:p>
        </w:tc>
        <w:tc>
          <w:tcPr>
            <w:tcW w:w="2254" w:type="dxa"/>
            <w:gridSpan w:val="2"/>
            <w:vAlign w:val="center"/>
          </w:tcPr>
          <w:p w:rsidR="000636CD" w:rsidRPr="008D198C" w:rsidRDefault="000636CD" w:rsidP="009325CC">
            <w:pPr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lastRenderedPageBreak/>
              <w:t xml:space="preserve">Среднегодовая численность населения </w:t>
            </w:r>
          </w:p>
        </w:tc>
        <w:tc>
          <w:tcPr>
            <w:tcW w:w="1315" w:type="dxa"/>
            <w:vAlign w:val="center"/>
          </w:tcPr>
          <w:p w:rsidR="000636CD" w:rsidRPr="008D198C" w:rsidRDefault="000636CD" w:rsidP="000636CD">
            <w:pPr>
              <w:jc w:val="center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тыс. человек</w:t>
            </w:r>
          </w:p>
        </w:tc>
        <w:tc>
          <w:tcPr>
            <w:tcW w:w="1372" w:type="dxa"/>
            <w:vAlign w:val="center"/>
          </w:tcPr>
          <w:p w:rsidR="000636CD" w:rsidRPr="008D198C" w:rsidRDefault="000636CD" w:rsidP="00063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98C">
              <w:rPr>
                <w:rFonts w:ascii="Times New Roman" w:hAnsi="Times New Roman" w:cs="Times New Roman"/>
                <w:sz w:val="16"/>
                <w:szCs w:val="16"/>
              </w:rPr>
              <w:t>117,40</w:t>
            </w:r>
          </w:p>
        </w:tc>
        <w:tc>
          <w:tcPr>
            <w:tcW w:w="1240" w:type="dxa"/>
            <w:vAlign w:val="center"/>
          </w:tcPr>
          <w:p w:rsidR="000636CD" w:rsidRPr="008D198C" w:rsidRDefault="000636CD" w:rsidP="00063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117,56</w:t>
            </w:r>
          </w:p>
        </w:tc>
      </w:tr>
      <w:tr w:rsidR="00342E29" w:rsidRPr="008D198C" w:rsidTr="00547E3A">
        <w:tc>
          <w:tcPr>
            <w:tcW w:w="566" w:type="dxa"/>
            <w:vMerge/>
          </w:tcPr>
          <w:p w:rsidR="00342E29" w:rsidRPr="008D198C" w:rsidRDefault="00342E29" w:rsidP="00490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2" w:type="dxa"/>
            <w:vMerge/>
          </w:tcPr>
          <w:p w:rsidR="00342E29" w:rsidRPr="008D198C" w:rsidRDefault="00342E29" w:rsidP="009325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1" w:type="dxa"/>
            <w:vMerge/>
          </w:tcPr>
          <w:p w:rsidR="00342E29" w:rsidRPr="004716DA" w:rsidRDefault="00342E29" w:rsidP="009325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4" w:type="dxa"/>
            <w:gridSpan w:val="2"/>
          </w:tcPr>
          <w:p w:rsidR="00342E29" w:rsidRPr="008D198C" w:rsidRDefault="00342E29" w:rsidP="009325CC">
            <w:pPr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 xml:space="preserve">Доля граждан, которым предоставлены меры социальной поддержки в общей численности граждан, обратившихся и имеющих право </w:t>
            </w:r>
          </w:p>
          <w:p w:rsidR="00342E29" w:rsidRPr="008D198C" w:rsidRDefault="00342E29" w:rsidP="009325CC">
            <w:pPr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 xml:space="preserve">на их </w:t>
            </w:r>
            <w:proofErr w:type="gramStart"/>
            <w:r w:rsidRPr="008D198C">
              <w:rPr>
                <w:sz w:val="16"/>
                <w:szCs w:val="16"/>
              </w:rPr>
              <w:t>получение</w:t>
            </w:r>
            <w:proofErr w:type="gramEnd"/>
            <w:r w:rsidRPr="008D198C">
              <w:rPr>
                <w:sz w:val="16"/>
                <w:szCs w:val="16"/>
              </w:rPr>
              <w:t xml:space="preserve"> на конец года</w:t>
            </w:r>
          </w:p>
        </w:tc>
        <w:tc>
          <w:tcPr>
            <w:tcW w:w="1315" w:type="dxa"/>
            <w:vAlign w:val="center"/>
          </w:tcPr>
          <w:p w:rsidR="00342E29" w:rsidRPr="008D198C" w:rsidRDefault="00342E29" w:rsidP="009325CC">
            <w:pPr>
              <w:jc w:val="center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%</w:t>
            </w:r>
          </w:p>
        </w:tc>
        <w:tc>
          <w:tcPr>
            <w:tcW w:w="1372" w:type="dxa"/>
            <w:vAlign w:val="center"/>
          </w:tcPr>
          <w:p w:rsidR="00342E29" w:rsidRPr="008D198C" w:rsidRDefault="00342E29" w:rsidP="00A03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98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40" w:type="dxa"/>
            <w:vAlign w:val="center"/>
          </w:tcPr>
          <w:p w:rsidR="00342E29" w:rsidRPr="008D198C" w:rsidRDefault="00A269C2" w:rsidP="006E5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A0184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342E29" w:rsidRPr="008D198C" w:rsidTr="00547E3A">
        <w:tc>
          <w:tcPr>
            <w:tcW w:w="566" w:type="dxa"/>
            <w:vMerge/>
          </w:tcPr>
          <w:p w:rsidR="00342E29" w:rsidRPr="008D198C" w:rsidRDefault="00342E29" w:rsidP="00490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2" w:type="dxa"/>
            <w:vMerge/>
          </w:tcPr>
          <w:p w:rsidR="00342E29" w:rsidRPr="008D198C" w:rsidRDefault="00342E29" w:rsidP="009325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1" w:type="dxa"/>
            <w:vMerge/>
          </w:tcPr>
          <w:p w:rsidR="00342E29" w:rsidRPr="008D198C" w:rsidRDefault="00342E29" w:rsidP="00932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342E29" w:rsidRPr="008D198C" w:rsidRDefault="00342E29" w:rsidP="009325CC">
            <w:pPr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 xml:space="preserve">Уровень безработицы </w:t>
            </w:r>
          </w:p>
        </w:tc>
        <w:tc>
          <w:tcPr>
            <w:tcW w:w="1315" w:type="dxa"/>
          </w:tcPr>
          <w:p w:rsidR="00342E29" w:rsidRPr="008D198C" w:rsidRDefault="00342E29" w:rsidP="009325CC">
            <w:pPr>
              <w:jc w:val="center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%</w:t>
            </w:r>
          </w:p>
        </w:tc>
        <w:tc>
          <w:tcPr>
            <w:tcW w:w="1372" w:type="dxa"/>
            <w:vAlign w:val="center"/>
          </w:tcPr>
          <w:p w:rsidR="00342E29" w:rsidRPr="008D198C" w:rsidRDefault="00342E29" w:rsidP="00A03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98C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1240" w:type="dxa"/>
            <w:vAlign w:val="center"/>
          </w:tcPr>
          <w:p w:rsidR="00342E29" w:rsidRPr="008D198C" w:rsidRDefault="00342E29" w:rsidP="00A03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0,59</w:t>
            </w:r>
          </w:p>
        </w:tc>
      </w:tr>
      <w:tr w:rsidR="00342E29" w:rsidRPr="008D198C" w:rsidTr="00547E3A">
        <w:tc>
          <w:tcPr>
            <w:tcW w:w="566" w:type="dxa"/>
            <w:vMerge/>
          </w:tcPr>
          <w:p w:rsidR="00342E29" w:rsidRPr="008D198C" w:rsidRDefault="00342E29" w:rsidP="00490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2" w:type="dxa"/>
            <w:vMerge/>
          </w:tcPr>
          <w:p w:rsidR="00342E29" w:rsidRPr="008D198C" w:rsidRDefault="00342E29" w:rsidP="009325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1" w:type="dxa"/>
            <w:vMerge/>
          </w:tcPr>
          <w:p w:rsidR="00342E29" w:rsidRPr="008D198C" w:rsidRDefault="00342E29" w:rsidP="00932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342E29" w:rsidRPr="008D198C" w:rsidRDefault="00342E29" w:rsidP="009325CC">
            <w:pPr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Доля населения с доходами ниже прожиточного минимума</w:t>
            </w:r>
          </w:p>
        </w:tc>
        <w:tc>
          <w:tcPr>
            <w:tcW w:w="1315" w:type="dxa"/>
            <w:vAlign w:val="center"/>
          </w:tcPr>
          <w:p w:rsidR="00342E29" w:rsidRPr="008D198C" w:rsidRDefault="00342E29" w:rsidP="009325CC">
            <w:pPr>
              <w:jc w:val="center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% (не более)</w:t>
            </w:r>
          </w:p>
        </w:tc>
        <w:tc>
          <w:tcPr>
            <w:tcW w:w="1372" w:type="dxa"/>
            <w:vAlign w:val="center"/>
          </w:tcPr>
          <w:p w:rsidR="00342E29" w:rsidRPr="008D198C" w:rsidRDefault="00342E29" w:rsidP="00A03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98C">
              <w:rPr>
                <w:rFonts w:ascii="Times New Roman" w:hAnsi="Times New Roman" w:cs="Times New Roman"/>
                <w:sz w:val="16"/>
                <w:szCs w:val="16"/>
              </w:rPr>
              <w:t>10,60</w:t>
            </w:r>
          </w:p>
        </w:tc>
        <w:tc>
          <w:tcPr>
            <w:tcW w:w="1240" w:type="dxa"/>
            <w:vAlign w:val="center"/>
          </w:tcPr>
          <w:p w:rsidR="00342E29" w:rsidRPr="008D198C" w:rsidRDefault="000C5445" w:rsidP="004105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12,40</w:t>
            </w:r>
            <w:r w:rsidR="0041057A">
              <w:rPr>
                <w:rFonts w:ascii="Times New Roman" w:hAnsi="Times New Roman" w:cs="Times New Roman"/>
                <w:sz w:val="16"/>
                <w:szCs w:val="16"/>
              </w:rPr>
              <w:t xml:space="preserve"> (фактическое число обратившихся граждан превышает плановое)</w:t>
            </w:r>
          </w:p>
        </w:tc>
      </w:tr>
      <w:tr w:rsidR="00342E29" w:rsidRPr="008D198C" w:rsidTr="00547E3A">
        <w:tc>
          <w:tcPr>
            <w:tcW w:w="566" w:type="dxa"/>
            <w:vMerge/>
          </w:tcPr>
          <w:p w:rsidR="00342E29" w:rsidRPr="008D198C" w:rsidRDefault="00342E29" w:rsidP="00490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2" w:type="dxa"/>
            <w:vMerge/>
          </w:tcPr>
          <w:p w:rsidR="00342E29" w:rsidRPr="008D198C" w:rsidRDefault="00342E29" w:rsidP="009325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1" w:type="dxa"/>
            <w:vMerge/>
          </w:tcPr>
          <w:p w:rsidR="00342E29" w:rsidRPr="008D198C" w:rsidRDefault="00342E29" w:rsidP="00932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342E29" w:rsidRPr="008D198C" w:rsidRDefault="00342E29" w:rsidP="009325CC">
            <w:pPr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Среднемесячная заработная плата работников крупных и средних организаций города Невинномысска</w:t>
            </w:r>
          </w:p>
        </w:tc>
        <w:tc>
          <w:tcPr>
            <w:tcW w:w="1315" w:type="dxa"/>
            <w:vAlign w:val="center"/>
          </w:tcPr>
          <w:p w:rsidR="00342E29" w:rsidRPr="008D198C" w:rsidRDefault="00342E29" w:rsidP="009325CC">
            <w:pPr>
              <w:jc w:val="center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% к уровню предыдущего года</w:t>
            </w:r>
          </w:p>
        </w:tc>
        <w:tc>
          <w:tcPr>
            <w:tcW w:w="1372" w:type="dxa"/>
            <w:vAlign w:val="center"/>
          </w:tcPr>
          <w:p w:rsidR="00342E29" w:rsidRPr="008D198C" w:rsidRDefault="00342E29" w:rsidP="00A03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98C">
              <w:rPr>
                <w:rFonts w:ascii="Times New Roman" w:hAnsi="Times New Roman" w:cs="Times New Roman"/>
                <w:sz w:val="16"/>
                <w:szCs w:val="16"/>
              </w:rPr>
              <w:t>104,00</w:t>
            </w:r>
          </w:p>
        </w:tc>
        <w:tc>
          <w:tcPr>
            <w:tcW w:w="1240" w:type="dxa"/>
            <w:vAlign w:val="center"/>
          </w:tcPr>
          <w:p w:rsidR="00342E29" w:rsidRPr="008D198C" w:rsidRDefault="00C446EA" w:rsidP="00C65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105,6</w:t>
            </w:r>
            <w:r w:rsidR="006857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636CD" w:rsidRPr="008D198C" w:rsidTr="00CA51CA">
        <w:trPr>
          <w:trHeight w:val="1104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</w:tcPr>
          <w:p w:rsidR="000636CD" w:rsidRPr="008D198C" w:rsidRDefault="000636CD" w:rsidP="00490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9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2352" w:type="dxa"/>
            <w:vMerge w:val="restart"/>
            <w:tcBorders>
              <w:bottom w:val="single" w:sz="4" w:space="0" w:color="auto"/>
            </w:tcBorders>
          </w:tcPr>
          <w:p w:rsidR="000636CD" w:rsidRPr="008D198C" w:rsidRDefault="000636CD" w:rsidP="009325CC">
            <w:pPr>
              <w:jc w:val="both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 xml:space="preserve">Реализация мероприятий муниципальной программы </w:t>
            </w:r>
            <w:r w:rsidRPr="008D198C">
              <w:rPr>
                <w:spacing w:val="-1"/>
                <w:sz w:val="16"/>
                <w:szCs w:val="16"/>
              </w:rPr>
              <w:t>«</w:t>
            </w:r>
            <w:r w:rsidRPr="008D198C">
              <w:rPr>
                <w:sz w:val="16"/>
                <w:szCs w:val="16"/>
              </w:rPr>
              <w:t>Развитие физической культуры, спорта и молодежной политики в городе Невинномысске</w:t>
            </w:r>
            <w:r w:rsidRPr="008D198C">
              <w:rPr>
                <w:spacing w:val="4"/>
                <w:sz w:val="16"/>
                <w:szCs w:val="16"/>
              </w:rPr>
              <w:t xml:space="preserve">», </w:t>
            </w:r>
            <w:r w:rsidRPr="008D198C">
              <w:rPr>
                <w:sz w:val="16"/>
                <w:szCs w:val="16"/>
              </w:rPr>
              <w:t>плана</w:t>
            </w:r>
          </w:p>
          <w:p w:rsidR="000636CD" w:rsidRPr="008D198C" w:rsidRDefault="000636CD" w:rsidP="009325CC">
            <w:pPr>
              <w:shd w:val="clear" w:color="auto" w:fill="FFFFFF"/>
              <w:tabs>
                <w:tab w:val="left" w:pos="5990"/>
              </w:tabs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мероприятий по участию города Невинномысска в реализации государственных программ Российской Федерации, программы «Комплексное развитие моногорода Невинномысска», участие в государственных программах Ставропольского края</w:t>
            </w:r>
          </w:p>
        </w:tc>
        <w:tc>
          <w:tcPr>
            <w:tcW w:w="613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636CD" w:rsidRPr="002C0FBC" w:rsidRDefault="000636CD" w:rsidP="00EE5F54">
            <w:pPr>
              <w:ind w:firstLine="330"/>
              <w:jc w:val="both"/>
              <w:rPr>
                <w:sz w:val="16"/>
                <w:szCs w:val="16"/>
              </w:rPr>
            </w:pPr>
            <w:r w:rsidRPr="002C0FBC">
              <w:rPr>
                <w:sz w:val="16"/>
                <w:szCs w:val="16"/>
              </w:rPr>
              <w:t>Структура физкультурных организаций города включает в себя:</w:t>
            </w:r>
          </w:p>
          <w:p w:rsidR="000636CD" w:rsidRPr="002C0FBC" w:rsidRDefault="000636CD" w:rsidP="00EE5F54">
            <w:pPr>
              <w:ind w:firstLine="330"/>
              <w:jc w:val="both"/>
              <w:rPr>
                <w:sz w:val="16"/>
                <w:szCs w:val="16"/>
              </w:rPr>
            </w:pPr>
            <w:r w:rsidRPr="002C0FBC">
              <w:rPr>
                <w:sz w:val="16"/>
                <w:szCs w:val="16"/>
              </w:rPr>
              <w:t>18 – общеобразовательных учреждений, 31 – дошкольное образовательное учреждение, 5 – образовательных учреждения среднего профессионального образования, 3 – образовательных учреждения высшего профессионального образования, 4 – ДЮСШ; 1 – СКК;</w:t>
            </w:r>
          </w:p>
          <w:p w:rsidR="000636CD" w:rsidRPr="002C0FBC" w:rsidRDefault="000636CD" w:rsidP="00EE5F54">
            <w:pPr>
              <w:ind w:firstLine="330"/>
              <w:jc w:val="both"/>
              <w:rPr>
                <w:sz w:val="16"/>
                <w:szCs w:val="16"/>
              </w:rPr>
            </w:pPr>
            <w:r w:rsidRPr="002C0FBC">
              <w:rPr>
                <w:sz w:val="16"/>
                <w:szCs w:val="16"/>
              </w:rPr>
              <w:t>федерации по видам спорта;</w:t>
            </w:r>
          </w:p>
          <w:p w:rsidR="000636CD" w:rsidRPr="002C0FBC" w:rsidRDefault="000636CD" w:rsidP="00EE5F54">
            <w:pPr>
              <w:ind w:firstLine="330"/>
              <w:jc w:val="both"/>
              <w:rPr>
                <w:sz w:val="16"/>
                <w:szCs w:val="16"/>
              </w:rPr>
            </w:pPr>
            <w:r w:rsidRPr="002C0FBC">
              <w:rPr>
                <w:sz w:val="16"/>
                <w:szCs w:val="16"/>
              </w:rPr>
              <w:t>спортивные сооружения;</w:t>
            </w:r>
          </w:p>
          <w:p w:rsidR="000636CD" w:rsidRPr="002C0FBC" w:rsidRDefault="000636CD" w:rsidP="00EE5F54">
            <w:pPr>
              <w:ind w:firstLine="330"/>
              <w:jc w:val="both"/>
              <w:rPr>
                <w:sz w:val="16"/>
                <w:szCs w:val="16"/>
              </w:rPr>
            </w:pPr>
            <w:r w:rsidRPr="002C0FBC">
              <w:rPr>
                <w:sz w:val="16"/>
                <w:szCs w:val="16"/>
              </w:rPr>
              <w:t xml:space="preserve">34 </w:t>
            </w:r>
            <w:proofErr w:type="gramStart"/>
            <w:r w:rsidRPr="002C0FBC">
              <w:rPr>
                <w:sz w:val="16"/>
                <w:szCs w:val="16"/>
              </w:rPr>
              <w:t>спортивных</w:t>
            </w:r>
            <w:proofErr w:type="gramEnd"/>
            <w:r w:rsidRPr="002C0FBC">
              <w:rPr>
                <w:sz w:val="16"/>
                <w:szCs w:val="16"/>
              </w:rPr>
              <w:t xml:space="preserve"> клуба: </w:t>
            </w:r>
            <w:proofErr w:type="gramStart"/>
            <w:r w:rsidRPr="002C0FBC">
              <w:rPr>
                <w:sz w:val="16"/>
                <w:szCs w:val="16"/>
              </w:rPr>
              <w:t>«Олимп», «Знай наших», «Юниор», «Школьный Спортивный Клуб», «Рекорд ЛИК», «Гармония», «Чемпион», «Футбол», «Волейбол», «Русич», «</w:t>
            </w:r>
            <w:proofErr w:type="spellStart"/>
            <w:r w:rsidRPr="002C0FBC">
              <w:rPr>
                <w:sz w:val="16"/>
                <w:szCs w:val="16"/>
              </w:rPr>
              <w:t>Милениум</w:t>
            </w:r>
            <w:proofErr w:type="spellEnd"/>
            <w:r w:rsidRPr="002C0FBC">
              <w:rPr>
                <w:sz w:val="16"/>
                <w:szCs w:val="16"/>
              </w:rPr>
              <w:t>», «Рекордам навстречу», «Максимум здоровья», «Движение», «Луч», «Марафон», «</w:t>
            </w:r>
            <w:proofErr w:type="spellStart"/>
            <w:r w:rsidRPr="002C0FBC">
              <w:rPr>
                <w:sz w:val="16"/>
                <w:szCs w:val="16"/>
              </w:rPr>
              <w:t>Дартс</w:t>
            </w:r>
            <w:proofErr w:type="spellEnd"/>
            <w:r w:rsidRPr="002C0FBC">
              <w:rPr>
                <w:sz w:val="16"/>
                <w:szCs w:val="16"/>
              </w:rPr>
              <w:t>», «Ринг», «Аида», «Арсенал», «Школа единоборства», «Спорт-тайм», «Надежда», «Арена», «Клуб любителей животных», «Империал», «Вектор», «Фортуна», «Федерация дзюдо и самбо г. Невинномысска», «А-</w:t>
            </w:r>
            <w:proofErr w:type="spellStart"/>
            <w:r w:rsidRPr="002C0FBC">
              <w:rPr>
                <w:sz w:val="16"/>
                <w:szCs w:val="16"/>
              </w:rPr>
              <w:t>файт</w:t>
            </w:r>
            <w:proofErr w:type="spellEnd"/>
            <w:r w:rsidRPr="002C0FBC">
              <w:rPr>
                <w:sz w:val="16"/>
                <w:szCs w:val="16"/>
              </w:rPr>
              <w:t>», «</w:t>
            </w:r>
            <w:proofErr w:type="spellStart"/>
            <w:r w:rsidRPr="002C0FBC">
              <w:rPr>
                <w:sz w:val="16"/>
                <w:szCs w:val="16"/>
              </w:rPr>
              <w:t>Киокусинкай</w:t>
            </w:r>
            <w:proofErr w:type="spellEnd"/>
            <w:r w:rsidRPr="002C0FBC">
              <w:rPr>
                <w:sz w:val="16"/>
                <w:szCs w:val="16"/>
              </w:rPr>
              <w:t>», «Тайфун», «Любительская футбольная лига», «Академия здорового образа жизни Василия Скакуна».</w:t>
            </w:r>
            <w:proofErr w:type="gramEnd"/>
          </w:p>
          <w:p w:rsidR="006E71B7" w:rsidRPr="00B16BF7" w:rsidRDefault="006E71B7" w:rsidP="006E71B7">
            <w:pPr>
              <w:ind w:firstLine="330"/>
              <w:jc w:val="both"/>
              <w:rPr>
                <w:sz w:val="16"/>
                <w:szCs w:val="16"/>
              </w:rPr>
            </w:pPr>
            <w:r w:rsidRPr="00B16BF7">
              <w:rPr>
                <w:sz w:val="16"/>
                <w:szCs w:val="16"/>
              </w:rPr>
              <w:t xml:space="preserve">На реализацию </w:t>
            </w:r>
            <w:r w:rsidRPr="008D198C">
              <w:rPr>
                <w:sz w:val="16"/>
                <w:szCs w:val="16"/>
              </w:rPr>
              <w:t xml:space="preserve">муниципальной программы </w:t>
            </w:r>
            <w:r w:rsidRPr="00B16BF7">
              <w:rPr>
                <w:sz w:val="16"/>
                <w:szCs w:val="16"/>
              </w:rPr>
              <w:t>«</w:t>
            </w:r>
            <w:r w:rsidRPr="008D198C">
              <w:rPr>
                <w:sz w:val="16"/>
                <w:szCs w:val="16"/>
              </w:rPr>
              <w:t>Развитие физической культуры, спорта и молодежной политики в городе Невинномысске</w:t>
            </w:r>
            <w:r w:rsidRPr="00B16BF7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израсходовано</w:t>
            </w:r>
            <w:r w:rsidR="00495AE9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50830,52 тыс. рублей.</w:t>
            </w:r>
          </w:p>
          <w:p w:rsidR="000636CD" w:rsidRPr="002C0FBC" w:rsidRDefault="000636CD" w:rsidP="00EE5F54">
            <w:pPr>
              <w:ind w:right="-6" w:firstLine="330"/>
              <w:jc w:val="both"/>
              <w:rPr>
                <w:sz w:val="16"/>
                <w:szCs w:val="16"/>
              </w:rPr>
            </w:pPr>
            <w:r w:rsidRPr="002C0FBC">
              <w:rPr>
                <w:sz w:val="16"/>
                <w:szCs w:val="16"/>
              </w:rPr>
              <w:t>В 2018 году было проведено 88 спортивных и физкультурно-массовых мероприятий, в которых приняло участие 14299 человек. Проведены открытые первенства города и турниры по дзюдо, плаванию, боксу, батуту, баскетболу, волейболу, настольному теннису, тяжелой атлетике, кикбоксингу, легкоатлетические пробеги, соревнования по видам спорта, посвященные знаменательным датам и праздникам. Сборные команды города и сильнейшие спортсмены в количестве</w:t>
            </w:r>
            <w:r w:rsidR="00495AE9">
              <w:rPr>
                <w:sz w:val="16"/>
                <w:szCs w:val="16"/>
              </w:rPr>
              <w:t xml:space="preserve">                    </w:t>
            </w:r>
            <w:r w:rsidRPr="002C0FBC">
              <w:rPr>
                <w:sz w:val="16"/>
                <w:szCs w:val="16"/>
              </w:rPr>
              <w:t xml:space="preserve"> 913 человек приняли участие в краевых, региональных, российских и международных соревнованиях. В городе проведено 5 краевых спортивных мероприятий и 1 соревнование российского масштаба.</w:t>
            </w:r>
            <w:r>
              <w:rPr>
                <w:sz w:val="16"/>
                <w:szCs w:val="16"/>
              </w:rPr>
              <w:t xml:space="preserve"> За год в систематические занятия физкультурой было вовлечено 49650 человек.</w:t>
            </w:r>
          </w:p>
          <w:p w:rsidR="000636CD" w:rsidRDefault="000636CD" w:rsidP="00EE5F54">
            <w:pPr>
              <w:shd w:val="clear" w:color="auto" w:fill="FFFFFF"/>
              <w:ind w:left="10" w:right="-6" w:firstLine="334"/>
              <w:jc w:val="both"/>
              <w:rPr>
                <w:sz w:val="16"/>
                <w:szCs w:val="16"/>
              </w:rPr>
            </w:pPr>
            <w:r w:rsidRPr="002C0FBC">
              <w:rPr>
                <w:sz w:val="16"/>
                <w:szCs w:val="16"/>
              </w:rPr>
              <w:t xml:space="preserve">Физкультурно - спортивная работа проводилась на 17 крупных предприятиях города, имеющих коллективы физкультуры. Физкультурно-оздоровительная работа с людьми с ограниченными возможностями здоровья проводится в МБУ «Спортивно – культурный комплекс «Олимп», МБУ </w:t>
            </w:r>
            <w:proofErr w:type="gramStart"/>
            <w:r w:rsidRPr="002C0FBC">
              <w:rPr>
                <w:sz w:val="16"/>
                <w:szCs w:val="16"/>
              </w:rPr>
              <w:t>ДО</w:t>
            </w:r>
            <w:proofErr w:type="gramEnd"/>
            <w:r w:rsidRPr="002C0FBC">
              <w:rPr>
                <w:sz w:val="16"/>
                <w:szCs w:val="16"/>
              </w:rPr>
              <w:t xml:space="preserve"> «</w:t>
            </w:r>
            <w:proofErr w:type="gramStart"/>
            <w:r w:rsidRPr="002C0FBC">
              <w:rPr>
                <w:sz w:val="16"/>
                <w:szCs w:val="16"/>
              </w:rPr>
              <w:t>Детско-юношеская</w:t>
            </w:r>
            <w:proofErr w:type="gramEnd"/>
            <w:r w:rsidRPr="002C0FBC">
              <w:rPr>
                <w:sz w:val="16"/>
                <w:szCs w:val="16"/>
              </w:rPr>
              <w:t xml:space="preserve"> спортивная школа №1» и МБУ ДО ДЮСШ «Рекорд». Дважды в год в городе проводится спартакиада среди инвалидов всех категорий по шахматам, шашкам, настольному теннису, плаванию, </w:t>
            </w:r>
            <w:proofErr w:type="spellStart"/>
            <w:r w:rsidRPr="002C0FBC">
              <w:rPr>
                <w:sz w:val="16"/>
                <w:szCs w:val="16"/>
              </w:rPr>
              <w:t>дартсу</w:t>
            </w:r>
            <w:proofErr w:type="spellEnd"/>
            <w:r w:rsidRPr="002C0FBC">
              <w:rPr>
                <w:sz w:val="16"/>
                <w:szCs w:val="16"/>
              </w:rPr>
              <w:t>, легкой атлетике, армрестлингу и гиревому спорту, в которых принимают участие более 80 человек.</w:t>
            </w:r>
          </w:p>
          <w:p w:rsidR="006E71B7" w:rsidRDefault="006E71B7" w:rsidP="006E71B7">
            <w:pPr>
              <w:suppressAutoHyphens/>
              <w:ind w:firstLine="343"/>
              <w:jc w:val="both"/>
              <w:rPr>
                <w:sz w:val="16"/>
                <w:szCs w:val="16"/>
              </w:rPr>
            </w:pPr>
            <w:r w:rsidRPr="008C507C">
              <w:rPr>
                <w:sz w:val="16"/>
                <w:szCs w:val="16"/>
              </w:rPr>
              <w:t xml:space="preserve">В 2018 году </w:t>
            </w:r>
            <w:r w:rsidRPr="00F163A1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 xml:space="preserve">рамках </w:t>
            </w:r>
            <w:r w:rsidRPr="00F163A1">
              <w:rPr>
                <w:sz w:val="16"/>
                <w:szCs w:val="16"/>
              </w:rPr>
              <w:t>государственной программ</w:t>
            </w:r>
            <w:r>
              <w:rPr>
                <w:sz w:val="16"/>
                <w:szCs w:val="16"/>
              </w:rPr>
              <w:t>ы</w:t>
            </w:r>
            <w:r w:rsidRPr="00F163A1">
              <w:rPr>
                <w:sz w:val="16"/>
                <w:szCs w:val="16"/>
              </w:rPr>
              <w:t xml:space="preserve"> Ставропольского края </w:t>
            </w:r>
            <w:r w:rsidRPr="008C507C">
              <w:rPr>
                <w:sz w:val="16"/>
                <w:szCs w:val="16"/>
              </w:rPr>
              <w:t>«Управление финансами»</w:t>
            </w:r>
            <w:r>
              <w:rPr>
                <w:sz w:val="16"/>
                <w:szCs w:val="16"/>
              </w:rPr>
              <w:t xml:space="preserve"> проведена реконструкция спортивной площадки в районе </w:t>
            </w:r>
            <w:r>
              <w:rPr>
                <w:sz w:val="16"/>
                <w:szCs w:val="16"/>
              </w:rPr>
              <w:lastRenderedPageBreak/>
              <w:t xml:space="preserve">ПРП. </w:t>
            </w:r>
          </w:p>
          <w:p w:rsidR="006E71B7" w:rsidRPr="005E246E" w:rsidRDefault="006E71B7" w:rsidP="006E71B7">
            <w:pPr>
              <w:suppressAutoHyphens/>
              <w:ind w:firstLine="343"/>
              <w:jc w:val="both"/>
              <w:rPr>
                <w:sz w:val="16"/>
                <w:szCs w:val="16"/>
              </w:rPr>
            </w:pPr>
            <w:r w:rsidRPr="005E246E">
              <w:rPr>
                <w:sz w:val="16"/>
                <w:szCs w:val="16"/>
              </w:rPr>
              <w:t xml:space="preserve">Проведены мероприятия по отбору проектов на 2019 год: </w:t>
            </w:r>
          </w:p>
          <w:p w:rsidR="006E71B7" w:rsidRPr="005E246E" w:rsidRDefault="006E71B7" w:rsidP="006E71B7">
            <w:pPr>
              <w:suppressAutoHyphens/>
              <w:jc w:val="both"/>
              <w:rPr>
                <w:sz w:val="16"/>
                <w:szCs w:val="16"/>
              </w:rPr>
            </w:pPr>
            <w:r w:rsidRPr="005E246E">
              <w:rPr>
                <w:sz w:val="16"/>
                <w:szCs w:val="16"/>
              </w:rPr>
              <w:t>«Обустройство спортивной площадки в районе Муниципального бюджетного общеобразовательного учреждения средней общеобразовательной школы № 16»;</w:t>
            </w:r>
          </w:p>
          <w:p w:rsidR="006E71B7" w:rsidRPr="005E246E" w:rsidRDefault="006E71B7" w:rsidP="006E71B7">
            <w:pPr>
              <w:suppressAutoHyphens/>
              <w:jc w:val="both"/>
              <w:rPr>
                <w:sz w:val="16"/>
                <w:szCs w:val="16"/>
              </w:rPr>
            </w:pPr>
            <w:r w:rsidRPr="005E246E">
              <w:rPr>
                <w:sz w:val="16"/>
                <w:szCs w:val="16"/>
              </w:rPr>
              <w:t>«Обустройство спортивной площадки Муниципального общеобразовательного учреждения средней общеобразовательной школы № 1»;</w:t>
            </w:r>
          </w:p>
          <w:p w:rsidR="006E71B7" w:rsidRPr="005E246E" w:rsidRDefault="006E71B7" w:rsidP="006E71B7">
            <w:pPr>
              <w:suppressAutoHyphens/>
              <w:jc w:val="both"/>
              <w:rPr>
                <w:sz w:val="16"/>
                <w:szCs w:val="16"/>
              </w:rPr>
            </w:pPr>
            <w:r w:rsidRPr="005E246E">
              <w:rPr>
                <w:sz w:val="16"/>
                <w:szCs w:val="16"/>
              </w:rPr>
              <w:t>«Обустройство спортивной площадки Муниципального общеобразовательного учреждения средней общеобразовательной школы №15».</w:t>
            </w:r>
          </w:p>
          <w:p w:rsidR="006E71B7" w:rsidRPr="008D198C" w:rsidRDefault="006E71B7" w:rsidP="006E71B7">
            <w:pPr>
              <w:suppressAutoHyphens/>
              <w:ind w:firstLine="34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внебюджетных источников в</w:t>
            </w:r>
            <w:r w:rsidRPr="0087461D">
              <w:rPr>
                <w:sz w:val="16"/>
                <w:szCs w:val="16"/>
              </w:rPr>
              <w:t>елась II очередь реконструкции здания и благоустройства прилегающей территории муниципального бюджетного учреждения спортивно-культурного комплекса «ОЛИМП» города Невинномысска</w:t>
            </w:r>
            <w:r>
              <w:rPr>
                <w:sz w:val="16"/>
                <w:szCs w:val="16"/>
              </w:rPr>
              <w:t xml:space="preserve">. В 2018 году были открыты 2 площадки </w:t>
            </w:r>
            <w:r w:rsidRPr="004817CE">
              <w:rPr>
                <w:sz w:val="16"/>
                <w:szCs w:val="16"/>
              </w:rPr>
              <w:t xml:space="preserve">для </w:t>
            </w:r>
            <w:proofErr w:type="spellStart"/>
            <w:r w:rsidRPr="004817CE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о</w:t>
            </w:r>
            <w:r w:rsidRPr="004817CE">
              <w:rPr>
                <w:sz w:val="16"/>
                <w:szCs w:val="16"/>
              </w:rPr>
              <w:t>ркаута</w:t>
            </w:r>
            <w:proofErr w:type="spellEnd"/>
            <w:r w:rsidRPr="004817CE">
              <w:rPr>
                <w:sz w:val="16"/>
                <w:szCs w:val="16"/>
              </w:rPr>
              <w:t xml:space="preserve">, </w:t>
            </w:r>
            <w:proofErr w:type="spellStart"/>
            <w:r w:rsidRPr="004817CE">
              <w:rPr>
                <w:sz w:val="16"/>
                <w:szCs w:val="16"/>
              </w:rPr>
              <w:t>скейт</w:t>
            </w:r>
            <w:proofErr w:type="spellEnd"/>
            <w:r>
              <w:rPr>
                <w:sz w:val="16"/>
                <w:szCs w:val="16"/>
              </w:rPr>
              <w:t>-парк.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</w:tcPr>
          <w:p w:rsidR="000636CD" w:rsidRPr="008D198C" w:rsidRDefault="000636CD" w:rsidP="009325CC">
            <w:pPr>
              <w:shd w:val="clear" w:color="auto" w:fill="FFFFFF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lastRenderedPageBreak/>
              <w:t xml:space="preserve">Доля населения, систематически занимающегося </w:t>
            </w:r>
          </w:p>
          <w:p w:rsidR="000636CD" w:rsidRPr="008D198C" w:rsidRDefault="000636CD" w:rsidP="009325CC">
            <w:pPr>
              <w:shd w:val="clear" w:color="auto" w:fill="FFFFFF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 xml:space="preserve">физической культурой и спортом, в общей численности населения  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636CD" w:rsidRPr="008D198C" w:rsidRDefault="000636CD" w:rsidP="009325CC">
            <w:pPr>
              <w:jc w:val="center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% (не менее)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0636CD" w:rsidRPr="008D198C" w:rsidRDefault="000636CD" w:rsidP="00A03EFC">
            <w:pPr>
              <w:jc w:val="center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40,50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0636CD" w:rsidRPr="008D198C" w:rsidRDefault="000636CD" w:rsidP="00A03E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42,20</w:t>
            </w:r>
          </w:p>
        </w:tc>
      </w:tr>
      <w:tr w:rsidR="000636CD" w:rsidRPr="008D198C" w:rsidTr="00547E3A">
        <w:tc>
          <w:tcPr>
            <w:tcW w:w="566" w:type="dxa"/>
            <w:vMerge/>
          </w:tcPr>
          <w:p w:rsidR="000636CD" w:rsidRPr="008D198C" w:rsidRDefault="000636CD" w:rsidP="00490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2" w:type="dxa"/>
            <w:vMerge/>
          </w:tcPr>
          <w:p w:rsidR="000636CD" w:rsidRPr="008D198C" w:rsidRDefault="000636CD" w:rsidP="009325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1" w:type="dxa"/>
            <w:vMerge/>
          </w:tcPr>
          <w:p w:rsidR="000636CD" w:rsidRPr="008D198C" w:rsidRDefault="000636CD" w:rsidP="009325CC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  <w:gridSpan w:val="2"/>
          </w:tcPr>
          <w:p w:rsidR="000636CD" w:rsidRPr="008D198C" w:rsidRDefault="000636CD" w:rsidP="009325CC">
            <w:pPr>
              <w:shd w:val="clear" w:color="auto" w:fill="FFFFFF"/>
              <w:tabs>
                <w:tab w:val="left" w:pos="6962"/>
                <w:tab w:val="left" w:pos="8647"/>
              </w:tabs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Обеспеченность спортивными залами</w:t>
            </w:r>
          </w:p>
        </w:tc>
        <w:tc>
          <w:tcPr>
            <w:tcW w:w="1315" w:type="dxa"/>
            <w:vAlign w:val="center"/>
          </w:tcPr>
          <w:p w:rsidR="000636CD" w:rsidRPr="008D198C" w:rsidRDefault="000636CD" w:rsidP="009325CC">
            <w:pPr>
              <w:jc w:val="center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тыс. кв. метров на 10 тыс. человек</w:t>
            </w:r>
          </w:p>
        </w:tc>
        <w:tc>
          <w:tcPr>
            <w:tcW w:w="1372" w:type="dxa"/>
            <w:vAlign w:val="center"/>
          </w:tcPr>
          <w:p w:rsidR="000636CD" w:rsidRPr="008D198C" w:rsidRDefault="000636CD" w:rsidP="00A03EFC">
            <w:pPr>
              <w:jc w:val="center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1,30</w:t>
            </w:r>
          </w:p>
        </w:tc>
        <w:tc>
          <w:tcPr>
            <w:tcW w:w="1240" w:type="dxa"/>
            <w:vAlign w:val="center"/>
          </w:tcPr>
          <w:p w:rsidR="000636CD" w:rsidRPr="008D198C" w:rsidRDefault="000636CD" w:rsidP="00A03E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</w:t>
            </w:r>
          </w:p>
        </w:tc>
      </w:tr>
      <w:tr w:rsidR="000636CD" w:rsidRPr="008D198C" w:rsidTr="00547E3A">
        <w:tc>
          <w:tcPr>
            <w:tcW w:w="566" w:type="dxa"/>
            <w:vMerge/>
          </w:tcPr>
          <w:p w:rsidR="000636CD" w:rsidRPr="008D198C" w:rsidRDefault="000636CD" w:rsidP="00490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2" w:type="dxa"/>
            <w:vMerge/>
          </w:tcPr>
          <w:p w:rsidR="000636CD" w:rsidRPr="008D198C" w:rsidRDefault="000636CD" w:rsidP="009325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1" w:type="dxa"/>
            <w:vMerge/>
          </w:tcPr>
          <w:p w:rsidR="000636CD" w:rsidRPr="008D198C" w:rsidRDefault="000636CD" w:rsidP="009325CC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  <w:gridSpan w:val="2"/>
          </w:tcPr>
          <w:p w:rsidR="000636CD" w:rsidRPr="008D198C" w:rsidRDefault="000636CD" w:rsidP="009325CC">
            <w:pPr>
              <w:shd w:val="clear" w:color="auto" w:fill="FFFFFF"/>
              <w:tabs>
                <w:tab w:val="left" w:pos="6962"/>
                <w:tab w:val="left" w:pos="8647"/>
              </w:tabs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Обеспеченность плоскостными спортивными сооружениями</w:t>
            </w:r>
          </w:p>
        </w:tc>
        <w:tc>
          <w:tcPr>
            <w:tcW w:w="1315" w:type="dxa"/>
            <w:vAlign w:val="center"/>
          </w:tcPr>
          <w:p w:rsidR="000636CD" w:rsidRPr="008D198C" w:rsidRDefault="000636CD" w:rsidP="009325CC">
            <w:pPr>
              <w:jc w:val="center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тыс. кв. метров на 10 тыс. человек</w:t>
            </w:r>
          </w:p>
        </w:tc>
        <w:tc>
          <w:tcPr>
            <w:tcW w:w="1372" w:type="dxa"/>
            <w:vAlign w:val="center"/>
          </w:tcPr>
          <w:p w:rsidR="000636CD" w:rsidRPr="008D198C" w:rsidRDefault="000636CD" w:rsidP="00A03EFC">
            <w:pPr>
              <w:jc w:val="center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6,50</w:t>
            </w:r>
          </w:p>
        </w:tc>
        <w:tc>
          <w:tcPr>
            <w:tcW w:w="1240" w:type="dxa"/>
            <w:vAlign w:val="center"/>
          </w:tcPr>
          <w:p w:rsidR="000636CD" w:rsidRPr="008D198C" w:rsidRDefault="000636CD" w:rsidP="00A03E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6,50</w:t>
            </w:r>
          </w:p>
        </w:tc>
      </w:tr>
      <w:tr w:rsidR="000636CD" w:rsidRPr="008D198C" w:rsidTr="00547E3A">
        <w:tc>
          <w:tcPr>
            <w:tcW w:w="566" w:type="dxa"/>
            <w:vMerge/>
          </w:tcPr>
          <w:p w:rsidR="000636CD" w:rsidRPr="008D198C" w:rsidRDefault="000636CD" w:rsidP="00490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2" w:type="dxa"/>
            <w:vMerge/>
          </w:tcPr>
          <w:p w:rsidR="000636CD" w:rsidRPr="008D198C" w:rsidRDefault="000636CD" w:rsidP="009325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1" w:type="dxa"/>
            <w:vMerge/>
          </w:tcPr>
          <w:p w:rsidR="000636CD" w:rsidRPr="008D198C" w:rsidRDefault="000636CD" w:rsidP="009325CC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  <w:gridSpan w:val="2"/>
          </w:tcPr>
          <w:p w:rsidR="000636CD" w:rsidRPr="008D198C" w:rsidRDefault="000636CD" w:rsidP="009325CC">
            <w:pPr>
              <w:shd w:val="clear" w:color="auto" w:fill="FFFFFF"/>
              <w:tabs>
                <w:tab w:val="left" w:pos="6962"/>
                <w:tab w:val="left" w:pos="8647"/>
              </w:tabs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Обеспеченность плавательными бассейнами</w:t>
            </w:r>
          </w:p>
        </w:tc>
        <w:tc>
          <w:tcPr>
            <w:tcW w:w="1315" w:type="dxa"/>
            <w:vAlign w:val="center"/>
          </w:tcPr>
          <w:p w:rsidR="000636CD" w:rsidRPr="008D198C" w:rsidRDefault="000636CD" w:rsidP="009325CC">
            <w:pPr>
              <w:jc w:val="center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 xml:space="preserve">кв. метров зеркала воды </w:t>
            </w:r>
            <w:proofErr w:type="gramStart"/>
            <w:r w:rsidRPr="008D198C">
              <w:rPr>
                <w:sz w:val="16"/>
                <w:szCs w:val="16"/>
              </w:rPr>
              <w:t>на</w:t>
            </w:r>
            <w:proofErr w:type="gramEnd"/>
            <w:r w:rsidRPr="008D198C">
              <w:rPr>
                <w:sz w:val="16"/>
                <w:szCs w:val="16"/>
              </w:rPr>
              <w:t xml:space="preserve"> </w:t>
            </w:r>
          </w:p>
          <w:p w:rsidR="000636CD" w:rsidRPr="008D198C" w:rsidRDefault="000636CD" w:rsidP="009325CC">
            <w:pPr>
              <w:jc w:val="center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10 тыс. человек</w:t>
            </w:r>
          </w:p>
        </w:tc>
        <w:tc>
          <w:tcPr>
            <w:tcW w:w="1372" w:type="dxa"/>
            <w:vAlign w:val="center"/>
          </w:tcPr>
          <w:p w:rsidR="000636CD" w:rsidRPr="008D198C" w:rsidRDefault="000636CD" w:rsidP="00A03EFC">
            <w:pPr>
              <w:jc w:val="center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30,71</w:t>
            </w:r>
          </w:p>
        </w:tc>
        <w:tc>
          <w:tcPr>
            <w:tcW w:w="1240" w:type="dxa"/>
            <w:vAlign w:val="center"/>
          </w:tcPr>
          <w:p w:rsidR="000636CD" w:rsidRPr="008D198C" w:rsidRDefault="000636CD" w:rsidP="00A03E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30,71</w:t>
            </w:r>
          </w:p>
        </w:tc>
      </w:tr>
      <w:tr w:rsidR="004C5E31" w:rsidRPr="008D198C" w:rsidTr="00495AE9">
        <w:trPr>
          <w:trHeight w:val="343"/>
        </w:trPr>
        <w:tc>
          <w:tcPr>
            <w:tcW w:w="566" w:type="dxa"/>
          </w:tcPr>
          <w:p w:rsidR="004C5E31" w:rsidRPr="008D198C" w:rsidRDefault="004C5E31" w:rsidP="00490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9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2352" w:type="dxa"/>
          </w:tcPr>
          <w:p w:rsidR="004C5E31" w:rsidRPr="008D198C" w:rsidRDefault="004C5E31" w:rsidP="009325CC">
            <w:pPr>
              <w:jc w:val="both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Реализация мероприятий муниципальной программы «Культура города Невинномысска», плана</w:t>
            </w:r>
          </w:p>
          <w:p w:rsidR="004C5E31" w:rsidRPr="008D198C" w:rsidRDefault="004C5E31" w:rsidP="009325C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98C">
              <w:rPr>
                <w:rFonts w:ascii="Times New Roman" w:hAnsi="Times New Roman" w:cs="Times New Roman"/>
                <w:sz w:val="16"/>
                <w:szCs w:val="16"/>
              </w:rPr>
              <w:t>мероприятий по участию города Невинномысска в реализации государственных программ Российской Федерации, программы «Комплексное развитие моногорода Невинномысска», участие в государственных программах Ставропольского края</w:t>
            </w:r>
          </w:p>
        </w:tc>
        <w:tc>
          <w:tcPr>
            <w:tcW w:w="6131" w:type="dxa"/>
            <w:shd w:val="clear" w:color="auto" w:fill="auto"/>
          </w:tcPr>
          <w:p w:rsidR="00E76F1B" w:rsidRPr="00E76F1B" w:rsidRDefault="00336212" w:rsidP="006E71B7">
            <w:pPr>
              <w:suppressAutoHyphens/>
              <w:ind w:firstLine="720"/>
              <w:jc w:val="both"/>
              <w:rPr>
                <w:sz w:val="16"/>
                <w:szCs w:val="16"/>
              </w:rPr>
            </w:pPr>
            <w:r w:rsidRPr="00336212">
              <w:rPr>
                <w:sz w:val="16"/>
                <w:szCs w:val="16"/>
              </w:rPr>
              <w:t xml:space="preserve">Всего на реализацию мероприятий </w:t>
            </w:r>
            <w:r w:rsidRPr="008D198C">
              <w:rPr>
                <w:sz w:val="16"/>
                <w:szCs w:val="16"/>
              </w:rPr>
              <w:t>муниципальной программы «Культура города Невинномысска»</w:t>
            </w:r>
            <w:r>
              <w:rPr>
                <w:sz w:val="16"/>
                <w:szCs w:val="16"/>
              </w:rPr>
              <w:t xml:space="preserve"> </w:t>
            </w:r>
            <w:r w:rsidR="006E71B7">
              <w:rPr>
                <w:sz w:val="16"/>
                <w:szCs w:val="16"/>
              </w:rPr>
              <w:t>израсходовано 108823,37 тыс. рублей</w:t>
            </w:r>
            <w:r w:rsidRPr="00336212">
              <w:rPr>
                <w:sz w:val="16"/>
                <w:szCs w:val="16"/>
              </w:rPr>
              <w:t>.</w:t>
            </w:r>
            <w:r w:rsidR="006E71B7">
              <w:rPr>
                <w:sz w:val="16"/>
                <w:szCs w:val="16"/>
              </w:rPr>
              <w:t xml:space="preserve"> </w:t>
            </w:r>
            <w:r w:rsidR="00E76F1B" w:rsidRPr="00E76F1B">
              <w:rPr>
                <w:sz w:val="16"/>
                <w:szCs w:val="16"/>
              </w:rPr>
              <w:t>В отчетн</w:t>
            </w:r>
            <w:r w:rsidR="006E71B7">
              <w:rPr>
                <w:sz w:val="16"/>
                <w:szCs w:val="16"/>
              </w:rPr>
              <w:t>ом</w:t>
            </w:r>
            <w:r w:rsidR="00E76F1B" w:rsidRPr="00E76F1B">
              <w:rPr>
                <w:sz w:val="16"/>
                <w:szCs w:val="16"/>
              </w:rPr>
              <w:t xml:space="preserve"> период</w:t>
            </w:r>
            <w:r w:rsidR="006E71B7">
              <w:rPr>
                <w:sz w:val="16"/>
                <w:szCs w:val="16"/>
              </w:rPr>
              <w:t>е</w:t>
            </w:r>
            <w:r w:rsidR="00E76F1B" w:rsidRPr="00E76F1B">
              <w:rPr>
                <w:sz w:val="16"/>
                <w:szCs w:val="16"/>
              </w:rPr>
              <w:t xml:space="preserve"> в отрасли продолжила работу сеть муниципальных учреждений культуры, насчитывающая 17 объектов, в том числе: 12 библиотек, 3 учреждения культурно-досугового типа, 2 учреждения дополнительного образования в области искусств. Численность работающих составила 230 человек. По состоянию на 01 января 2019 года средняя заработная плата в учреждениях культуры города Невинномысска сложилась в сумме 23869,40 рублей или 111,7 % от прогнозируемой средней заработной платы в регионе (21361,70 руб</w:t>
            </w:r>
            <w:r w:rsidR="001C3FFE">
              <w:rPr>
                <w:sz w:val="16"/>
                <w:szCs w:val="16"/>
              </w:rPr>
              <w:t>лей</w:t>
            </w:r>
            <w:r w:rsidR="00E76F1B" w:rsidRPr="00E76F1B">
              <w:rPr>
                <w:sz w:val="16"/>
                <w:szCs w:val="16"/>
              </w:rPr>
              <w:t xml:space="preserve">). </w:t>
            </w:r>
          </w:p>
          <w:p w:rsidR="00E76F1B" w:rsidRPr="00E76F1B" w:rsidRDefault="00E76F1B" w:rsidP="00E76F1B">
            <w:pPr>
              <w:ind w:firstLine="343"/>
              <w:jc w:val="both"/>
              <w:rPr>
                <w:sz w:val="16"/>
                <w:szCs w:val="16"/>
              </w:rPr>
            </w:pPr>
            <w:r w:rsidRPr="00E76F1B">
              <w:rPr>
                <w:sz w:val="16"/>
                <w:szCs w:val="16"/>
              </w:rPr>
              <w:t>В 2018 году проведено 1105 культурных мероприятий с участием почти 60 тысяч жителей города. Для детской аудитории в 2018 году было проведено 269 культурно-массовых мероприятий.</w:t>
            </w:r>
          </w:p>
          <w:p w:rsidR="00E76F1B" w:rsidRPr="00E76F1B" w:rsidRDefault="00E76F1B" w:rsidP="00E76F1B">
            <w:pPr>
              <w:ind w:firstLine="343"/>
              <w:jc w:val="both"/>
              <w:rPr>
                <w:sz w:val="16"/>
                <w:szCs w:val="16"/>
              </w:rPr>
            </w:pPr>
            <w:r w:rsidRPr="00E76F1B">
              <w:rPr>
                <w:sz w:val="16"/>
                <w:szCs w:val="16"/>
              </w:rPr>
              <w:t xml:space="preserve">Из 45 клубных формирований самодеятельного творчества 24 коллектива художественной самодеятельности, имеют звание «народный», еще 3 коллектива, носящих звание «народный», занимаются на базах учреждений иных форм хозяйствования. Также в городе активную концертную деятельность ведут </w:t>
            </w:r>
            <w:r w:rsidR="00495AE9">
              <w:rPr>
                <w:sz w:val="16"/>
                <w:szCs w:val="16"/>
              </w:rPr>
              <w:t xml:space="preserve">                   </w:t>
            </w:r>
            <w:r w:rsidRPr="00E76F1B">
              <w:rPr>
                <w:sz w:val="16"/>
                <w:szCs w:val="16"/>
              </w:rPr>
              <w:t xml:space="preserve">3 коллектива, носящих звание «образцовый». </w:t>
            </w:r>
          </w:p>
          <w:p w:rsidR="006E71B7" w:rsidRPr="00E76F1B" w:rsidRDefault="00E76F1B" w:rsidP="006E71B7">
            <w:pPr>
              <w:ind w:firstLine="343"/>
              <w:jc w:val="both"/>
              <w:rPr>
                <w:sz w:val="16"/>
                <w:szCs w:val="16"/>
              </w:rPr>
            </w:pPr>
            <w:r w:rsidRPr="00E76F1B">
              <w:rPr>
                <w:sz w:val="16"/>
                <w:szCs w:val="16"/>
              </w:rPr>
              <w:t>В 2018 году в единый библиотечный фонд поступило 1294 экземпляра документов, в том числе для детей и юношества 427 экземпляров.</w:t>
            </w:r>
            <w:r>
              <w:rPr>
                <w:sz w:val="16"/>
                <w:szCs w:val="16"/>
              </w:rPr>
              <w:t xml:space="preserve"> </w:t>
            </w:r>
            <w:r w:rsidRPr="00E76F1B">
              <w:rPr>
                <w:sz w:val="16"/>
                <w:szCs w:val="16"/>
              </w:rPr>
              <w:t xml:space="preserve">Периодические издания наряду с книгами, брошюрами, электронными изданиями формируют электронный каталог, объем которого на 01 января 2019 года составил </w:t>
            </w:r>
            <w:r w:rsidR="00495AE9">
              <w:rPr>
                <w:sz w:val="16"/>
                <w:szCs w:val="16"/>
              </w:rPr>
              <w:t xml:space="preserve">                               </w:t>
            </w:r>
            <w:r w:rsidRPr="00E76F1B">
              <w:rPr>
                <w:sz w:val="16"/>
                <w:szCs w:val="16"/>
              </w:rPr>
              <w:t xml:space="preserve">93257 библиографических записей. </w:t>
            </w:r>
            <w:r w:rsidR="006E71B7" w:rsidRPr="00E76F1B">
              <w:rPr>
                <w:sz w:val="16"/>
                <w:szCs w:val="16"/>
              </w:rPr>
              <w:t xml:space="preserve">Компьютерный парк учреждений культуры и школ дополнительного образования составляет 93 автоматизированных рабочих места (КДУ - 30, ЦГБ - 41, школы - 22). </w:t>
            </w:r>
          </w:p>
          <w:p w:rsidR="00E76F1B" w:rsidRPr="00E76F1B" w:rsidRDefault="00E76F1B" w:rsidP="00E76F1B">
            <w:pPr>
              <w:ind w:firstLine="343"/>
              <w:jc w:val="both"/>
              <w:rPr>
                <w:sz w:val="16"/>
                <w:szCs w:val="16"/>
              </w:rPr>
            </w:pPr>
            <w:r w:rsidRPr="00E76F1B">
              <w:rPr>
                <w:sz w:val="16"/>
                <w:szCs w:val="16"/>
              </w:rPr>
              <w:t xml:space="preserve">Система образования в городе Невинномысске, направленная на развитие творческих способностей подрастающего поколения, представлена 2 школами: МБУДО ДМШ №1 и МБУДО ДШИ, </w:t>
            </w:r>
            <w:proofErr w:type="gramStart"/>
            <w:r w:rsidRPr="00E76F1B">
              <w:rPr>
                <w:sz w:val="16"/>
                <w:szCs w:val="16"/>
              </w:rPr>
              <w:t>состоящее</w:t>
            </w:r>
            <w:proofErr w:type="gramEnd"/>
            <w:r w:rsidRPr="00E76F1B">
              <w:rPr>
                <w:sz w:val="16"/>
                <w:szCs w:val="16"/>
              </w:rPr>
              <w:t xml:space="preserve"> из двух отделений - музыкального и художественного. Контингент обучающихся школ дополнительного образования в области искусств в 2018 году составил 1082 человека (2017 год -1077 человек). </w:t>
            </w:r>
          </w:p>
          <w:p w:rsidR="006E71B7" w:rsidRDefault="00E76F1B" w:rsidP="006E71B7">
            <w:pPr>
              <w:ind w:firstLine="343"/>
              <w:jc w:val="both"/>
              <w:rPr>
                <w:sz w:val="16"/>
                <w:szCs w:val="16"/>
              </w:rPr>
            </w:pPr>
            <w:r w:rsidRPr="00E76F1B">
              <w:rPr>
                <w:sz w:val="16"/>
                <w:szCs w:val="16"/>
              </w:rPr>
              <w:t xml:space="preserve">На территории города Невинномысска фактически расположены 28 памятников истории и культуры регионального значения и 62 объекта муниципального значения. В городе Невинномысске проводится систематическая работа по использованию и популяризации объектов культурного наследия (памятников истории и культуры): проведено 15 памятных и торжественных мероприятий, 13 автобусных экскурсий. </w:t>
            </w:r>
          </w:p>
          <w:p w:rsidR="004C5E31" w:rsidRPr="008D198C" w:rsidRDefault="006E71B7" w:rsidP="006E71B7">
            <w:pPr>
              <w:ind w:firstLine="343"/>
              <w:jc w:val="both"/>
              <w:rPr>
                <w:sz w:val="16"/>
                <w:szCs w:val="16"/>
              </w:rPr>
            </w:pPr>
            <w:proofErr w:type="gramStart"/>
            <w:r w:rsidRPr="008C507C">
              <w:rPr>
                <w:sz w:val="16"/>
                <w:szCs w:val="16"/>
              </w:rPr>
              <w:t xml:space="preserve">В 2018 году </w:t>
            </w:r>
            <w:r w:rsidRPr="00F163A1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 xml:space="preserve">рамках </w:t>
            </w:r>
            <w:r w:rsidRPr="00F163A1">
              <w:rPr>
                <w:sz w:val="16"/>
                <w:szCs w:val="16"/>
              </w:rPr>
              <w:t>государственной программ</w:t>
            </w:r>
            <w:r>
              <w:rPr>
                <w:sz w:val="16"/>
                <w:szCs w:val="16"/>
              </w:rPr>
              <w:t>ы</w:t>
            </w:r>
            <w:r w:rsidRPr="00F163A1">
              <w:rPr>
                <w:sz w:val="16"/>
                <w:szCs w:val="16"/>
              </w:rPr>
              <w:t xml:space="preserve"> Ставропольского края </w:t>
            </w:r>
            <w:r w:rsidRPr="003E355E">
              <w:rPr>
                <w:sz w:val="16"/>
                <w:szCs w:val="16"/>
              </w:rPr>
              <w:t>«Культура и туристско-рекреационный комплекс» (государственн</w:t>
            </w:r>
            <w:r>
              <w:rPr>
                <w:sz w:val="16"/>
                <w:szCs w:val="16"/>
              </w:rPr>
              <w:t>ая</w:t>
            </w:r>
            <w:r w:rsidRPr="003E355E">
              <w:rPr>
                <w:sz w:val="16"/>
                <w:szCs w:val="16"/>
              </w:rPr>
              <w:t xml:space="preserve"> программ</w:t>
            </w:r>
            <w:r>
              <w:rPr>
                <w:sz w:val="16"/>
                <w:szCs w:val="16"/>
              </w:rPr>
              <w:t>а</w:t>
            </w:r>
            <w:r w:rsidRPr="003E355E">
              <w:rPr>
                <w:sz w:val="16"/>
                <w:szCs w:val="16"/>
              </w:rPr>
              <w:t xml:space="preserve"> Российской Федерации «Развитие культуры и туризма» на 2013 - 2020 годы)</w:t>
            </w:r>
            <w:r>
              <w:rPr>
                <w:sz w:val="16"/>
                <w:szCs w:val="16"/>
              </w:rPr>
              <w:t xml:space="preserve"> и </w:t>
            </w:r>
            <w:r w:rsidRPr="0032094C">
              <w:rPr>
                <w:sz w:val="16"/>
                <w:szCs w:val="16"/>
              </w:rPr>
              <w:lastRenderedPageBreak/>
              <w:t>«Развитие жилищно – коммунального хозяйства, защита населения и территории от чрезвычайных ситуаций»</w:t>
            </w:r>
            <w:r>
              <w:rPr>
                <w:sz w:val="16"/>
                <w:szCs w:val="16"/>
              </w:rPr>
              <w:t xml:space="preserve"> осуществлялось </w:t>
            </w:r>
            <w:r w:rsidRPr="008E4D3C">
              <w:rPr>
                <w:sz w:val="16"/>
                <w:szCs w:val="16"/>
              </w:rPr>
              <w:t>комплектование книжных фондов</w:t>
            </w:r>
            <w:r>
              <w:rPr>
                <w:sz w:val="16"/>
                <w:szCs w:val="16"/>
              </w:rPr>
              <w:t xml:space="preserve"> библиотек города Невинномысска и </w:t>
            </w:r>
            <w:r w:rsidRPr="008E4D3C">
              <w:rPr>
                <w:sz w:val="16"/>
                <w:szCs w:val="16"/>
              </w:rPr>
              <w:t>благоустройство городского парк</w:t>
            </w:r>
            <w:r>
              <w:rPr>
                <w:sz w:val="16"/>
                <w:szCs w:val="16"/>
              </w:rPr>
              <w:t>а культуры и отдыха «Шерстяник».</w:t>
            </w:r>
            <w:proofErr w:type="gramEnd"/>
          </w:p>
        </w:tc>
        <w:tc>
          <w:tcPr>
            <w:tcW w:w="2254" w:type="dxa"/>
            <w:gridSpan w:val="2"/>
          </w:tcPr>
          <w:p w:rsidR="004C5E31" w:rsidRPr="008D198C" w:rsidRDefault="004C5E31" w:rsidP="004C5E3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9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Доля населения, участвовавшего в платных культурно-массовых мероприятиях</w:t>
            </w:r>
          </w:p>
        </w:tc>
        <w:tc>
          <w:tcPr>
            <w:tcW w:w="1315" w:type="dxa"/>
            <w:vAlign w:val="center"/>
          </w:tcPr>
          <w:p w:rsidR="004C5E31" w:rsidRPr="008D198C" w:rsidRDefault="004C5E31" w:rsidP="004C5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98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372" w:type="dxa"/>
            <w:vAlign w:val="center"/>
          </w:tcPr>
          <w:p w:rsidR="004C5E31" w:rsidRPr="008D198C" w:rsidRDefault="004C5E31" w:rsidP="004C5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98C">
              <w:rPr>
                <w:rFonts w:ascii="Times New Roman" w:hAnsi="Times New Roman" w:cs="Times New Roman"/>
                <w:sz w:val="16"/>
                <w:szCs w:val="16"/>
              </w:rPr>
              <w:t>48,00</w:t>
            </w:r>
          </w:p>
        </w:tc>
        <w:tc>
          <w:tcPr>
            <w:tcW w:w="1240" w:type="dxa"/>
            <w:vAlign w:val="center"/>
          </w:tcPr>
          <w:p w:rsidR="004C5E31" w:rsidRPr="008D198C" w:rsidRDefault="00DF6230" w:rsidP="002E2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 (</w:t>
            </w:r>
            <w:r w:rsidR="002E2523">
              <w:rPr>
                <w:rFonts w:ascii="Times New Roman" w:hAnsi="Times New Roman" w:cs="Times New Roman"/>
                <w:sz w:val="16"/>
                <w:szCs w:val="16"/>
              </w:rPr>
              <w:t xml:space="preserve">с целью экономии средств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сокращение числа мероприятий и увеличение продолжительности их проведения)</w:t>
            </w:r>
          </w:p>
        </w:tc>
      </w:tr>
      <w:tr w:rsidR="001B4F48" w:rsidRPr="008D198C" w:rsidTr="000636CD">
        <w:trPr>
          <w:trHeight w:val="736"/>
        </w:trPr>
        <w:tc>
          <w:tcPr>
            <w:tcW w:w="566" w:type="dxa"/>
            <w:vMerge w:val="restart"/>
          </w:tcPr>
          <w:p w:rsidR="001B4F48" w:rsidRPr="008D198C" w:rsidRDefault="001B4F48" w:rsidP="00490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9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2352" w:type="dxa"/>
            <w:vMerge w:val="restart"/>
          </w:tcPr>
          <w:p w:rsidR="001B4F48" w:rsidRPr="008D198C" w:rsidRDefault="001B4F48" w:rsidP="009325CC">
            <w:pPr>
              <w:jc w:val="both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 xml:space="preserve">Реализация мероприятий муниципальной программы </w:t>
            </w:r>
          </w:p>
          <w:p w:rsidR="001B4F48" w:rsidRPr="008D198C" w:rsidRDefault="001B4F48" w:rsidP="009325CC">
            <w:pPr>
              <w:jc w:val="both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 xml:space="preserve">«Развитие образования в городе Невинномысске», </w:t>
            </w:r>
          </w:p>
          <w:p w:rsidR="001B4F48" w:rsidRPr="008D198C" w:rsidRDefault="001B4F48" w:rsidP="009325CC">
            <w:pPr>
              <w:jc w:val="both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 xml:space="preserve">программы </w:t>
            </w:r>
          </w:p>
          <w:p w:rsidR="001B4F48" w:rsidRPr="008D198C" w:rsidRDefault="001B4F48" w:rsidP="009325CC">
            <w:pPr>
              <w:jc w:val="both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 xml:space="preserve">«Комплексное развитие моногорода Невинномысска», </w:t>
            </w:r>
          </w:p>
          <w:p w:rsidR="001B4F48" w:rsidRPr="008D198C" w:rsidRDefault="001B4F48" w:rsidP="009325CC">
            <w:pPr>
              <w:jc w:val="both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участие в государственных программах Ставропольского края и Российской Федерации</w:t>
            </w:r>
          </w:p>
        </w:tc>
        <w:tc>
          <w:tcPr>
            <w:tcW w:w="6131" w:type="dxa"/>
            <w:vMerge w:val="restart"/>
            <w:shd w:val="clear" w:color="auto" w:fill="auto"/>
          </w:tcPr>
          <w:p w:rsidR="006E71B7" w:rsidRDefault="004C6430" w:rsidP="006E71B7">
            <w:pPr>
              <w:ind w:firstLine="343"/>
              <w:jc w:val="both"/>
              <w:rPr>
                <w:sz w:val="16"/>
                <w:szCs w:val="16"/>
              </w:rPr>
            </w:pPr>
            <w:r w:rsidRPr="004C6430">
              <w:rPr>
                <w:sz w:val="16"/>
                <w:szCs w:val="16"/>
              </w:rPr>
              <w:t xml:space="preserve">Всего на реализацию мероприятий </w:t>
            </w:r>
            <w:r w:rsidRPr="008D198C">
              <w:rPr>
                <w:sz w:val="16"/>
                <w:szCs w:val="16"/>
              </w:rPr>
              <w:t>муниципальной программы «Развитие образования в городе Невинномысске»</w:t>
            </w:r>
            <w:r>
              <w:rPr>
                <w:sz w:val="16"/>
                <w:szCs w:val="16"/>
              </w:rPr>
              <w:t xml:space="preserve"> </w:t>
            </w:r>
            <w:r w:rsidR="006E71B7">
              <w:rPr>
                <w:sz w:val="16"/>
                <w:szCs w:val="16"/>
              </w:rPr>
              <w:t>израсходовано</w:t>
            </w:r>
            <w:r w:rsidRPr="004C6430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006155,45 тыс. рублей.</w:t>
            </w:r>
            <w:r w:rsidR="006E71B7" w:rsidRPr="008C507C">
              <w:rPr>
                <w:sz w:val="16"/>
                <w:szCs w:val="16"/>
              </w:rPr>
              <w:t xml:space="preserve"> </w:t>
            </w:r>
            <w:r w:rsidR="006E71B7">
              <w:rPr>
                <w:sz w:val="16"/>
                <w:szCs w:val="16"/>
              </w:rPr>
              <w:t>В</w:t>
            </w:r>
            <w:r w:rsidR="006E71B7" w:rsidRPr="00F163A1">
              <w:rPr>
                <w:sz w:val="16"/>
                <w:szCs w:val="16"/>
              </w:rPr>
              <w:t xml:space="preserve"> </w:t>
            </w:r>
            <w:r w:rsidR="006E71B7">
              <w:rPr>
                <w:sz w:val="16"/>
                <w:szCs w:val="16"/>
              </w:rPr>
              <w:t xml:space="preserve">рамках </w:t>
            </w:r>
            <w:r w:rsidR="006E71B7" w:rsidRPr="00F163A1">
              <w:rPr>
                <w:sz w:val="16"/>
                <w:szCs w:val="16"/>
              </w:rPr>
              <w:t>государственн</w:t>
            </w:r>
            <w:r w:rsidR="006E71B7">
              <w:rPr>
                <w:sz w:val="16"/>
                <w:szCs w:val="16"/>
              </w:rPr>
              <w:t>ых</w:t>
            </w:r>
            <w:r w:rsidR="006E71B7" w:rsidRPr="00F163A1">
              <w:rPr>
                <w:sz w:val="16"/>
                <w:szCs w:val="16"/>
              </w:rPr>
              <w:t xml:space="preserve"> программ Ставропольского края </w:t>
            </w:r>
            <w:r w:rsidR="006E71B7" w:rsidRPr="009D1FE3">
              <w:rPr>
                <w:sz w:val="16"/>
                <w:szCs w:val="16"/>
              </w:rPr>
              <w:t xml:space="preserve">«Развитие энергетики, промышленности и связи» и </w:t>
            </w:r>
            <w:r w:rsidR="006E71B7">
              <w:rPr>
                <w:sz w:val="16"/>
                <w:szCs w:val="16"/>
              </w:rPr>
              <w:t>«Развитие образования» проводила</w:t>
            </w:r>
            <w:r w:rsidR="006E71B7" w:rsidRPr="009D1FE3">
              <w:rPr>
                <w:sz w:val="16"/>
                <w:szCs w:val="16"/>
              </w:rPr>
              <w:t>сь замена оконных блоков в муниципальных образовательных организа</w:t>
            </w:r>
            <w:r w:rsidR="006E71B7">
              <w:rPr>
                <w:sz w:val="16"/>
                <w:szCs w:val="16"/>
              </w:rPr>
              <w:t xml:space="preserve">циях города Невинномысска и </w:t>
            </w:r>
            <w:r w:rsidR="006E71B7" w:rsidRPr="009D1FE3">
              <w:rPr>
                <w:sz w:val="16"/>
                <w:szCs w:val="16"/>
              </w:rPr>
              <w:t>капитальный ремонт кровель в муниципальных общеобразовательных организация</w:t>
            </w:r>
            <w:r w:rsidR="006E71B7">
              <w:rPr>
                <w:sz w:val="16"/>
                <w:szCs w:val="16"/>
              </w:rPr>
              <w:t xml:space="preserve">х города Невинномысска. </w:t>
            </w:r>
          </w:p>
          <w:p w:rsidR="001B4F48" w:rsidRPr="00577D6A" w:rsidRDefault="001B4F48" w:rsidP="004C6430">
            <w:pPr>
              <w:ind w:firstLine="343"/>
              <w:jc w:val="both"/>
              <w:rPr>
                <w:sz w:val="16"/>
                <w:szCs w:val="16"/>
              </w:rPr>
            </w:pPr>
            <w:r w:rsidRPr="00577D6A">
              <w:rPr>
                <w:sz w:val="16"/>
                <w:szCs w:val="16"/>
              </w:rPr>
              <w:t>Система дошкольного, общего и дополнительного образования города представлена 60 образовательными учреждениями: 35 дошкольных образовательных учреждений, 19 общеобразовательных учреждений, 1 центр психолого-медико-социального сопровождения», 6 организаций дополнительного образования.</w:t>
            </w:r>
          </w:p>
          <w:p w:rsidR="001B4F48" w:rsidRPr="00577D6A" w:rsidRDefault="001B4F48" w:rsidP="009D1FE3">
            <w:pPr>
              <w:ind w:firstLine="343"/>
              <w:jc w:val="both"/>
              <w:rPr>
                <w:sz w:val="16"/>
                <w:szCs w:val="16"/>
              </w:rPr>
            </w:pPr>
            <w:proofErr w:type="gramStart"/>
            <w:r w:rsidRPr="00577D6A">
              <w:rPr>
                <w:sz w:val="16"/>
                <w:szCs w:val="16"/>
              </w:rPr>
              <w:t xml:space="preserve">На начало 2018-2019 учебного года численность обучающихся в дошкольных образовательных учреждениях составляла 6869 детей, в том числе в муниципальных – 6623 ребенка, 80 детей в частном дошкольном образовательном учреждении «Центр развития ребенка – Православный детский сад «Вера, Надежда, Любовь», 166 детей в государственных дошкольных образовательных организациях, в общеобразовательных учреждениях - 12084 человека; в организациях дополнительного образования - </w:t>
            </w:r>
            <w:r w:rsidR="00495AE9">
              <w:rPr>
                <w:sz w:val="16"/>
                <w:szCs w:val="16"/>
              </w:rPr>
              <w:t xml:space="preserve">                    </w:t>
            </w:r>
            <w:r w:rsidRPr="00577D6A">
              <w:rPr>
                <w:sz w:val="16"/>
                <w:szCs w:val="16"/>
              </w:rPr>
              <w:t>3610 человек.</w:t>
            </w:r>
            <w:proofErr w:type="gramEnd"/>
          </w:p>
          <w:p w:rsidR="001B4F48" w:rsidRPr="00577D6A" w:rsidRDefault="001B4F48" w:rsidP="00577D6A">
            <w:pPr>
              <w:shd w:val="clear" w:color="auto" w:fill="FFFFFF"/>
              <w:ind w:firstLine="343"/>
              <w:jc w:val="both"/>
              <w:rPr>
                <w:sz w:val="16"/>
                <w:szCs w:val="16"/>
              </w:rPr>
            </w:pPr>
            <w:r w:rsidRPr="00577D6A">
              <w:rPr>
                <w:sz w:val="16"/>
                <w:szCs w:val="16"/>
              </w:rPr>
              <w:t xml:space="preserve">В городе Невинномысске обеспечена 100 % доступность дошкольного образования для детей в возрасте от 3 до 7 лет. Доля детей в возрасте 1-6 лет, получающих дошкольную образовательную услугу и (или) услугу по их содержанию в дошкольных образовательных учреждениях города (включая частное и государственные) – 74,4 %. </w:t>
            </w:r>
          </w:p>
          <w:p w:rsidR="001B4F48" w:rsidRPr="00577D6A" w:rsidRDefault="001B4F48" w:rsidP="00577D6A">
            <w:pPr>
              <w:shd w:val="clear" w:color="auto" w:fill="FFFFFF"/>
              <w:ind w:firstLine="343"/>
              <w:jc w:val="both"/>
              <w:rPr>
                <w:sz w:val="16"/>
                <w:szCs w:val="16"/>
              </w:rPr>
            </w:pPr>
            <w:r w:rsidRPr="00577D6A">
              <w:rPr>
                <w:sz w:val="16"/>
                <w:szCs w:val="16"/>
              </w:rPr>
              <w:t xml:space="preserve">Обязательным общим образованием </w:t>
            </w:r>
            <w:proofErr w:type="gramStart"/>
            <w:r w:rsidRPr="00577D6A">
              <w:rPr>
                <w:sz w:val="16"/>
                <w:szCs w:val="16"/>
              </w:rPr>
              <w:t>охвачены</w:t>
            </w:r>
            <w:proofErr w:type="gramEnd"/>
            <w:r w:rsidRPr="00577D6A">
              <w:rPr>
                <w:sz w:val="16"/>
                <w:szCs w:val="16"/>
              </w:rPr>
              <w:t xml:space="preserve"> 99 % детей в возрасте от 6,5 до 18 лет, подлежащих обучению.</w:t>
            </w:r>
          </w:p>
          <w:p w:rsidR="001B4F48" w:rsidRPr="00577D6A" w:rsidRDefault="001B4F48" w:rsidP="00577D6A">
            <w:pPr>
              <w:ind w:firstLine="343"/>
              <w:jc w:val="both"/>
              <w:rPr>
                <w:sz w:val="16"/>
                <w:szCs w:val="16"/>
              </w:rPr>
            </w:pPr>
            <w:r w:rsidRPr="00577D6A">
              <w:rPr>
                <w:sz w:val="16"/>
                <w:szCs w:val="16"/>
              </w:rPr>
              <w:t>Реализация основных образовательных программ осуществляется через следующие формы:</w:t>
            </w:r>
          </w:p>
          <w:p w:rsidR="001B4F48" w:rsidRPr="00577D6A" w:rsidRDefault="001B4F48" w:rsidP="00577D6A">
            <w:pPr>
              <w:ind w:firstLine="343"/>
              <w:jc w:val="both"/>
              <w:rPr>
                <w:sz w:val="16"/>
                <w:szCs w:val="16"/>
              </w:rPr>
            </w:pPr>
            <w:r w:rsidRPr="00577D6A">
              <w:rPr>
                <w:sz w:val="16"/>
                <w:szCs w:val="16"/>
              </w:rPr>
              <w:t>очно - 11770 школьников;</w:t>
            </w:r>
          </w:p>
          <w:p w:rsidR="001B4F48" w:rsidRPr="00577D6A" w:rsidRDefault="001B4F48" w:rsidP="00577D6A">
            <w:pPr>
              <w:ind w:firstLine="343"/>
              <w:jc w:val="both"/>
              <w:rPr>
                <w:sz w:val="16"/>
                <w:szCs w:val="16"/>
              </w:rPr>
            </w:pPr>
            <w:r w:rsidRPr="00577D6A">
              <w:rPr>
                <w:sz w:val="16"/>
                <w:szCs w:val="16"/>
              </w:rPr>
              <w:t>индивидуальное обучение на дому - 64человека, из них дистанционно обучаются 6 детей-инвалидов;</w:t>
            </w:r>
          </w:p>
          <w:p w:rsidR="001B4F48" w:rsidRPr="00577D6A" w:rsidRDefault="001B4F48" w:rsidP="00577D6A">
            <w:pPr>
              <w:ind w:firstLine="343"/>
              <w:jc w:val="both"/>
              <w:rPr>
                <w:sz w:val="16"/>
                <w:szCs w:val="16"/>
              </w:rPr>
            </w:pPr>
            <w:r w:rsidRPr="00577D6A">
              <w:rPr>
                <w:sz w:val="16"/>
                <w:szCs w:val="16"/>
              </w:rPr>
              <w:t>семейное образование - 8 человек;</w:t>
            </w:r>
          </w:p>
          <w:p w:rsidR="001B4F48" w:rsidRPr="00577D6A" w:rsidRDefault="001B4F48" w:rsidP="00577D6A">
            <w:pPr>
              <w:ind w:firstLine="343"/>
              <w:jc w:val="both"/>
              <w:rPr>
                <w:sz w:val="16"/>
                <w:szCs w:val="16"/>
              </w:rPr>
            </w:pPr>
            <w:r w:rsidRPr="00577D6A">
              <w:rPr>
                <w:sz w:val="16"/>
                <w:szCs w:val="16"/>
              </w:rPr>
              <w:t>профильное обучение - 480 старшеклассников (42 % от общего числа учащихся 10-11 классов);</w:t>
            </w:r>
          </w:p>
          <w:p w:rsidR="001B4F48" w:rsidRPr="00577D6A" w:rsidRDefault="001B4F48" w:rsidP="00577D6A">
            <w:pPr>
              <w:ind w:firstLine="343"/>
              <w:jc w:val="both"/>
              <w:rPr>
                <w:sz w:val="16"/>
                <w:szCs w:val="16"/>
              </w:rPr>
            </w:pPr>
            <w:r w:rsidRPr="00577D6A">
              <w:rPr>
                <w:sz w:val="16"/>
                <w:szCs w:val="16"/>
              </w:rPr>
              <w:t>углубленное изучение отдельных предметов - 1460 обучающихся 5 - 11 классов (21 % от общего числа обучающихся 5 - 11 классов).</w:t>
            </w:r>
          </w:p>
          <w:p w:rsidR="001B4F48" w:rsidRPr="00577D6A" w:rsidRDefault="001B4F48" w:rsidP="00577D6A">
            <w:pPr>
              <w:ind w:firstLine="343"/>
              <w:jc w:val="both"/>
              <w:rPr>
                <w:sz w:val="16"/>
                <w:szCs w:val="16"/>
              </w:rPr>
            </w:pPr>
            <w:r w:rsidRPr="00577D6A">
              <w:rPr>
                <w:sz w:val="16"/>
                <w:szCs w:val="16"/>
              </w:rPr>
              <w:t xml:space="preserve">Аттестат обычного образца получили 986 выпускников, 68 выпускников получили аттестаты с отличием. </w:t>
            </w:r>
          </w:p>
          <w:p w:rsidR="001B4F48" w:rsidRPr="00577D6A" w:rsidRDefault="001B4F48" w:rsidP="00577D6A">
            <w:pPr>
              <w:pStyle w:val="aa"/>
              <w:ind w:firstLine="34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7D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2018 году в муниципальной системе образования были заняты 2397 человек. В 2018 году в область образования пришли работать 18 молодых специалистов и в настоящее время в муниципальных образовательных организациях работают </w:t>
            </w:r>
            <w:r w:rsidR="00495A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</w:t>
            </w:r>
            <w:r w:rsidRPr="00577D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37 молодых специалиста, что составляет 2,5 % от общего количества педагогических работников. Средняя заработная плата педагогических работников общеобразовательных учреждений в 2018 году выросла на 2,1 % и составила </w:t>
            </w:r>
            <w:r w:rsidR="00495A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</w:t>
            </w:r>
            <w:r w:rsidRPr="00577D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23279,65 рублей. </w:t>
            </w:r>
          </w:p>
          <w:p w:rsidR="001B4F48" w:rsidRPr="008D198C" w:rsidRDefault="001B4F48" w:rsidP="00577D6A">
            <w:pPr>
              <w:ind w:firstLine="343"/>
              <w:jc w:val="both"/>
              <w:rPr>
                <w:sz w:val="16"/>
                <w:szCs w:val="16"/>
              </w:rPr>
            </w:pPr>
            <w:r w:rsidRPr="00577D6A">
              <w:rPr>
                <w:sz w:val="16"/>
                <w:szCs w:val="16"/>
              </w:rPr>
              <w:t xml:space="preserve">Дополнительное образование города Невинномысска реализуется по шести </w:t>
            </w:r>
            <w:r w:rsidRPr="00577D6A">
              <w:rPr>
                <w:sz w:val="16"/>
                <w:szCs w:val="16"/>
              </w:rPr>
              <w:lastRenderedPageBreak/>
              <w:t xml:space="preserve">направлениям: художественное, техническое, социально-педагогическое, физкультурно-спортивное, естественнонаучное, туристско-краеведческое. В общеобразовательных учреждениях система дополнительного образования состоит из 348 объединений, в которых занимаются 5868 детей (49 %) на бесплатной основе и </w:t>
            </w:r>
            <w:r w:rsidR="00495AE9">
              <w:rPr>
                <w:sz w:val="16"/>
                <w:szCs w:val="16"/>
              </w:rPr>
              <w:t xml:space="preserve">      </w:t>
            </w:r>
            <w:r w:rsidRPr="00577D6A">
              <w:rPr>
                <w:sz w:val="16"/>
                <w:szCs w:val="16"/>
              </w:rPr>
              <w:t>867 человек на платной основе (8 %). В учреждениях дополнительного образования в 296 объединениях и секциях занимаются 3610 (28 %) человек на бесплатной основе и 326 человек на платной основе (3 %).</w:t>
            </w:r>
          </w:p>
        </w:tc>
        <w:tc>
          <w:tcPr>
            <w:tcW w:w="2254" w:type="dxa"/>
            <w:gridSpan w:val="2"/>
          </w:tcPr>
          <w:p w:rsidR="001B4F48" w:rsidRPr="008D198C" w:rsidRDefault="001B4F48" w:rsidP="009325CC">
            <w:pPr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lastRenderedPageBreak/>
              <w:t>Охват детей (возраст от 3 лет до 7 лет) различными формами дошкольного образования</w:t>
            </w:r>
          </w:p>
        </w:tc>
        <w:tc>
          <w:tcPr>
            <w:tcW w:w="1315" w:type="dxa"/>
            <w:vAlign w:val="center"/>
          </w:tcPr>
          <w:p w:rsidR="001B4F48" w:rsidRPr="008D198C" w:rsidRDefault="001B4F48" w:rsidP="000636CD">
            <w:pPr>
              <w:jc w:val="center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%</w:t>
            </w:r>
          </w:p>
        </w:tc>
        <w:tc>
          <w:tcPr>
            <w:tcW w:w="1372" w:type="dxa"/>
            <w:vAlign w:val="center"/>
          </w:tcPr>
          <w:p w:rsidR="001B4F48" w:rsidRPr="008D198C" w:rsidRDefault="001B4F48" w:rsidP="00A03EFC">
            <w:pPr>
              <w:jc w:val="center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100,00</w:t>
            </w:r>
          </w:p>
        </w:tc>
        <w:tc>
          <w:tcPr>
            <w:tcW w:w="1240" w:type="dxa"/>
            <w:vAlign w:val="center"/>
          </w:tcPr>
          <w:p w:rsidR="001B4F48" w:rsidRPr="008D198C" w:rsidRDefault="001B4F48" w:rsidP="00A03E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FC0E77" w:rsidRPr="008D198C" w:rsidTr="00715A6B">
        <w:tc>
          <w:tcPr>
            <w:tcW w:w="566" w:type="dxa"/>
            <w:vMerge/>
          </w:tcPr>
          <w:p w:rsidR="00FC0E77" w:rsidRPr="008D198C" w:rsidRDefault="00FC0E77" w:rsidP="00490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2" w:type="dxa"/>
            <w:vMerge/>
          </w:tcPr>
          <w:p w:rsidR="00FC0E77" w:rsidRPr="008D198C" w:rsidRDefault="00FC0E77" w:rsidP="009325CC">
            <w:pPr>
              <w:rPr>
                <w:sz w:val="16"/>
                <w:szCs w:val="16"/>
              </w:rPr>
            </w:pPr>
          </w:p>
        </w:tc>
        <w:tc>
          <w:tcPr>
            <w:tcW w:w="6131" w:type="dxa"/>
            <w:vMerge/>
            <w:shd w:val="clear" w:color="auto" w:fill="auto"/>
          </w:tcPr>
          <w:p w:rsidR="00FC0E77" w:rsidRPr="008D198C" w:rsidRDefault="00FC0E77" w:rsidP="009325CC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  <w:gridSpan w:val="2"/>
          </w:tcPr>
          <w:p w:rsidR="00FC0E77" w:rsidRPr="008D198C" w:rsidRDefault="00FC0E77" w:rsidP="009325CC">
            <w:pPr>
              <w:shd w:val="clear" w:color="auto" w:fill="FFFFFF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Удельный вес лиц, сдавших единый государственный экзамен по обязательным предметам, в общем числе выпускников, участвовавших в едином государственном экзамене</w:t>
            </w:r>
          </w:p>
        </w:tc>
        <w:tc>
          <w:tcPr>
            <w:tcW w:w="1315" w:type="dxa"/>
            <w:vAlign w:val="center"/>
          </w:tcPr>
          <w:p w:rsidR="00FC0E77" w:rsidRPr="008D198C" w:rsidRDefault="00FC0E77" w:rsidP="009325CC">
            <w:pPr>
              <w:jc w:val="center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%</w:t>
            </w:r>
          </w:p>
        </w:tc>
        <w:tc>
          <w:tcPr>
            <w:tcW w:w="1372" w:type="dxa"/>
            <w:vAlign w:val="center"/>
          </w:tcPr>
          <w:p w:rsidR="00FC0E77" w:rsidRPr="008D198C" w:rsidRDefault="00FC0E77" w:rsidP="00A03EFC">
            <w:pPr>
              <w:jc w:val="center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99,80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C0E77" w:rsidRPr="008D198C" w:rsidRDefault="000C5445" w:rsidP="00A03E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99,80</w:t>
            </w:r>
          </w:p>
        </w:tc>
      </w:tr>
      <w:tr w:rsidR="00B70F75" w:rsidRPr="008D198C" w:rsidTr="002F3313">
        <w:trPr>
          <w:trHeight w:val="736"/>
        </w:trPr>
        <w:tc>
          <w:tcPr>
            <w:tcW w:w="566" w:type="dxa"/>
            <w:vMerge w:val="restart"/>
          </w:tcPr>
          <w:p w:rsidR="00B70F75" w:rsidRPr="008D198C" w:rsidRDefault="00B70F75" w:rsidP="00490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9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  <w:p w:rsidR="00B70F75" w:rsidRPr="008D198C" w:rsidRDefault="00B70F75" w:rsidP="00490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F75" w:rsidRPr="008D198C" w:rsidRDefault="00B70F75" w:rsidP="00490A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2" w:type="dxa"/>
            <w:vMerge w:val="restart"/>
          </w:tcPr>
          <w:p w:rsidR="00B70F75" w:rsidRPr="008D198C" w:rsidRDefault="00B70F75" w:rsidP="009325CC">
            <w:pPr>
              <w:jc w:val="both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Реализация мероприятий муниципальной программы «Развитие жилищно-коммунального хозяйства города Невинномысска», плана</w:t>
            </w:r>
          </w:p>
          <w:p w:rsidR="00B70F75" w:rsidRPr="008D198C" w:rsidRDefault="00B70F75" w:rsidP="009325CC">
            <w:pPr>
              <w:pStyle w:val="a5"/>
              <w:rPr>
                <w:rFonts w:ascii="Times New Roman" w:hAnsi="Times New Roman" w:cs="Times New Roman"/>
              </w:rPr>
            </w:pPr>
            <w:r w:rsidRPr="008D198C">
              <w:rPr>
                <w:rFonts w:ascii="Times New Roman" w:hAnsi="Times New Roman" w:cs="Times New Roman"/>
              </w:rPr>
              <w:t>мероприятий по участию города Невинномысска в реализации государственных программ Российской Федерации, программы «Комплексное развитие моногорода Невинномысска», строительство жилья эконом класса, участие в государственных программах Ставропольского края</w:t>
            </w:r>
          </w:p>
        </w:tc>
        <w:tc>
          <w:tcPr>
            <w:tcW w:w="6131" w:type="dxa"/>
            <w:vMerge w:val="restart"/>
            <w:shd w:val="clear" w:color="auto" w:fill="auto"/>
          </w:tcPr>
          <w:p w:rsidR="00206794" w:rsidRDefault="00B70F75" w:rsidP="00206794">
            <w:pPr>
              <w:ind w:firstLine="343"/>
              <w:jc w:val="both"/>
              <w:rPr>
                <w:sz w:val="16"/>
                <w:szCs w:val="16"/>
              </w:rPr>
            </w:pPr>
            <w:r w:rsidRPr="0003234D">
              <w:rPr>
                <w:sz w:val="16"/>
                <w:szCs w:val="16"/>
              </w:rPr>
              <w:t>С целью решения проблем в коммунальной сфере реализуются муниципальные программы «Развитие жилищно-коммунального хозяйства города Невинномысска» и «Формирование современной городской среды».</w:t>
            </w:r>
            <w:r w:rsidR="00206794">
              <w:rPr>
                <w:sz w:val="16"/>
                <w:szCs w:val="16"/>
              </w:rPr>
              <w:t xml:space="preserve"> </w:t>
            </w:r>
            <w:r w:rsidR="00206794" w:rsidRPr="007B1825">
              <w:rPr>
                <w:sz w:val="16"/>
                <w:szCs w:val="16"/>
              </w:rPr>
              <w:t xml:space="preserve">На </w:t>
            </w:r>
            <w:r w:rsidR="00206794">
              <w:rPr>
                <w:sz w:val="16"/>
                <w:szCs w:val="16"/>
              </w:rPr>
              <w:t xml:space="preserve">их </w:t>
            </w:r>
            <w:r w:rsidR="00206794" w:rsidRPr="007B1825">
              <w:rPr>
                <w:sz w:val="16"/>
                <w:szCs w:val="16"/>
              </w:rPr>
              <w:t xml:space="preserve">реализацию </w:t>
            </w:r>
            <w:r w:rsidR="00206794">
              <w:rPr>
                <w:sz w:val="16"/>
                <w:szCs w:val="16"/>
              </w:rPr>
              <w:t xml:space="preserve">в 2018 году </w:t>
            </w:r>
            <w:r w:rsidR="00206794" w:rsidRPr="007B1825">
              <w:rPr>
                <w:sz w:val="16"/>
                <w:szCs w:val="16"/>
              </w:rPr>
              <w:t>израсходовано 515527,76 тыс. рублей.</w:t>
            </w:r>
          </w:p>
          <w:p w:rsidR="00B70F75" w:rsidRPr="0003234D" w:rsidRDefault="00B70F75" w:rsidP="0003234D">
            <w:pPr>
              <w:shd w:val="clear" w:color="auto" w:fill="FFFFFF"/>
              <w:suppressAutoHyphens/>
              <w:ind w:firstLine="708"/>
              <w:jc w:val="both"/>
              <w:rPr>
                <w:sz w:val="16"/>
                <w:szCs w:val="16"/>
              </w:rPr>
            </w:pPr>
            <w:r w:rsidRPr="0003234D">
              <w:rPr>
                <w:sz w:val="16"/>
                <w:szCs w:val="16"/>
              </w:rPr>
              <w:t>Проводились работы по благоустройству 3 общественных территорий (городской парк по ул. Энгельса</w:t>
            </w:r>
            <w:r w:rsidR="00206794">
              <w:rPr>
                <w:sz w:val="16"/>
                <w:szCs w:val="16"/>
              </w:rPr>
              <w:t xml:space="preserve"> (завершено) </w:t>
            </w:r>
            <w:r w:rsidRPr="0003234D">
              <w:rPr>
                <w:sz w:val="16"/>
                <w:szCs w:val="16"/>
              </w:rPr>
              <w:t xml:space="preserve">, </w:t>
            </w:r>
            <w:proofErr w:type="spellStart"/>
            <w:r w:rsidRPr="0003234D">
              <w:rPr>
                <w:sz w:val="16"/>
                <w:szCs w:val="16"/>
              </w:rPr>
              <w:t>Скейт</w:t>
            </w:r>
            <w:proofErr w:type="spellEnd"/>
            <w:r w:rsidRPr="0003234D">
              <w:rPr>
                <w:sz w:val="16"/>
                <w:szCs w:val="16"/>
              </w:rPr>
              <w:t xml:space="preserve">-парк, парк Победы) и </w:t>
            </w:r>
            <w:r w:rsidR="00495AE9">
              <w:rPr>
                <w:sz w:val="16"/>
                <w:szCs w:val="16"/>
              </w:rPr>
              <w:t xml:space="preserve">                        </w:t>
            </w:r>
            <w:r w:rsidRPr="0003234D">
              <w:rPr>
                <w:sz w:val="16"/>
                <w:szCs w:val="16"/>
              </w:rPr>
              <w:t>11 дворовых территорий (ул. Апанасенко, 84, ул. Апанасенко, 86, ул. Новая, 3</w:t>
            </w:r>
            <w:proofErr w:type="gramStart"/>
            <w:r w:rsidRPr="0003234D">
              <w:rPr>
                <w:sz w:val="16"/>
                <w:szCs w:val="16"/>
              </w:rPr>
              <w:t xml:space="preserve"> А</w:t>
            </w:r>
            <w:proofErr w:type="gramEnd"/>
            <w:r w:rsidRPr="0003234D">
              <w:rPr>
                <w:sz w:val="16"/>
                <w:szCs w:val="16"/>
              </w:rPr>
              <w:t xml:space="preserve">, </w:t>
            </w:r>
            <w:r w:rsidR="00495AE9">
              <w:rPr>
                <w:sz w:val="16"/>
                <w:szCs w:val="16"/>
              </w:rPr>
              <w:t xml:space="preserve">             </w:t>
            </w:r>
            <w:r w:rsidRPr="0003234D">
              <w:rPr>
                <w:sz w:val="16"/>
                <w:szCs w:val="16"/>
              </w:rPr>
              <w:t xml:space="preserve"> ул. Приборостроительная, 2 А, ул. Се</w:t>
            </w:r>
            <w:r>
              <w:rPr>
                <w:sz w:val="16"/>
                <w:szCs w:val="16"/>
              </w:rPr>
              <w:t>верная, 16, ул. Северная, 7 А,</w:t>
            </w:r>
            <w:r w:rsidRPr="0003234D">
              <w:rPr>
                <w:sz w:val="16"/>
                <w:szCs w:val="16"/>
              </w:rPr>
              <w:t xml:space="preserve"> ул. Северная, 9, </w:t>
            </w:r>
            <w:r w:rsidR="00495AE9">
              <w:rPr>
                <w:sz w:val="16"/>
                <w:szCs w:val="16"/>
              </w:rPr>
              <w:t xml:space="preserve">         </w:t>
            </w:r>
            <w:r w:rsidRPr="0003234D">
              <w:rPr>
                <w:sz w:val="16"/>
                <w:szCs w:val="16"/>
              </w:rPr>
              <w:t>ул. Достоевског</w:t>
            </w:r>
            <w:r>
              <w:rPr>
                <w:sz w:val="16"/>
                <w:szCs w:val="16"/>
              </w:rPr>
              <w:t>о, 11 А, ул. Достоевского, 11,</w:t>
            </w:r>
            <w:r w:rsidRPr="0003234D">
              <w:rPr>
                <w:sz w:val="16"/>
                <w:szCs w:val="16"/>
              </w:rPr>
              <w:t xml:space="preserve"> ул. Достоевского, 13, ул. Менделеева, 32). Работы продолжаются.</w:t>
            </w:r>
          </w:p>
          <w:p w:rsidR="00B70F75" w:rsidRDefault="00B70F75" w:rsidP="00206794">
            <w:pPr>
              <w:suppressAutoHyphens/>
              <w:ind w:firstLine="708"/>
              <w:jc w:val="both"/>
              <w:rPr>
                <w:sz w:val="16"/>
                <w:szCs w:val="16"/>
              </w:rPr>
            </w:pPr>
            <w:proofErr w:type="gramStart"/>
            <w:r w:rsidRPr="0003234D">
              <w:rPr>
                <w:sz w:val="16"/>
                <w:szCs w:val="16"/>
              </w:rPr>
              <w:t>Муниципальным бюджетным учреждением по благоустройству города Невинномысска выполнялись работы по механической уборке дорог общего пользования местного значения города Невинномысска общей площадью 730448,00 кв. м. ООО «</w:t>
            </w:r>
            <w:proofErr w:type="spellStart"/>
            <w:r w:rsidRPr="0003234D">
              <w:rPr>
                <w:sz w:val="16"/>
                <w:szCs w:val="16"/>
              </w:rPr>
              <w:t>ДорСервис</w:t>
            </w:r>
            <w:proofErr w:type="spellEnd"/>
            <w:r w:rsidRPr="0003234D">
              <w:rPr>
                <w:sz w:val="16"/>
                <w:szCs w:val="16"/>
              </w:rPr>
              <w:t>» выполнены работы по нанесению горизонтальной дорожной разметки на улично-дорожной сети города общей площадью 26195,02 кв. м.</w:t>
            </w:r>
            <w:r w:rsidR="00206794">
              <w:rPr>
                <w:sz w:val="16"/>
                <w:szCs w:val="16"/>
              </w:rPr>
              <w:t xml:space="preserve"> В</w:t>
            </w:r>
            <w:r w:rsidRPr="0003234D">
              <w:rPr>
                <w:sz w:val="16"/>
                <w:szCs w:val="16"/>
              </w:rPr>
              <w:t xml:space="preserve"> 2018 году начато строительство объекта «Путепровод через железную дорогу в г. Невинномысск, Ставропольского края, с участием автодорожных</w:t>
            </w:r>
            <w:proofErr w:type="gramEnd"/>
            <w:r w:rsidRPr="0003234D">
              <w:rPr>
                <w:sz w:val="16"/>
                <w:szCs w:val="16"/>
              </w:rPr>
              <w:t xml:space="preserve"> подходов к путепроводу от ул. </w:t>
            </w:r>
            <w:proofErr w:type="gramStart"/>
            <w:r w:rsidRPr="0003234D">
              <w:rPr>
                <w:sz w:val="16"/>
                <w:szCs w:val="16"/>
              </w:rPr>
              <w:t>Степная</w:t>
            </w:r>
            <w:proofErr w:type="gramEnd"/>
            <w:r w:rsidRPr="0003234D">
              <w:rPr>
                <w:sz w:val="16"/>
                <w:szCs w:val="16"/>
              </w:rPr>
              <w:t xml:space="preserve"> и ул. Партизанская».</w:t>
            </w:r>
          </w:p>
          <w:p w:rsidR="00206794" w:rsidRPr="0003234D" w:rsidRDefault="00206794" w:rsidP="00206794">
            <w:pPr>
              <w:suppressAutoHyphens/>
              <w:ind w:firstLine="708"/>
              <w:jc w:val="both"/>
              <w:rPr>
                <w:sz w:val="16"/>
                <w:szCs w:val="16"/>
              </w:rPr>
            </w:pPr>
            <w:r w:rsidRPr="0003234D">
              <w:rPr>
                <w:sz w:val="16"/>
                <w:szCs w:val="16"/>
              </w:rPr>
              <w:t>Муниципальным бюджетным учреждением по благоустройству города Невинномысска выполнены следующие работы:</w:t>
            </w:r>
          </w:p>
          <w:p w:rsidR="00206794" w:rsidRPr="0003234D" w:rsidRDefault="00206794" w:rsidP="00206794">
            <w:pPr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03234D">
              <w:rPr>
                <w:sz w:val="16"/>
                <w:szCs w:val="16"/>
              </w:rPr>
              <w:t xml:space="preserve">ручная уборка тротуаров, скверов, посадочных площадок на остановочных пунктах; </w:t>
            </w:r>
          </w:p>
          <w:p w:rsidR="00206794" w:rsidRPr="0003234D" w:rsidRDefault="00206794" w:rsidP="00206794">
            <w:pPr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03234D">
              <w:rPr>
                <w:sz w:val="16"/>
                <w:szCs w:val="16"/>
              </w:rPr>
              <w:t xml:space="preserve">уборка городских территорий; покос городских территорий; очистка водоотводных канав; </w:t>
            </w:r>
          </w:p>
          <w:p w:rsidR="00206794" w:rsidRPr="0003234D" w:rsidRDefault="00206794" w:rsidP="00206794">
            <w:pPr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03234D">
              <w:rPr>
                <w:sz w:val="16"/>
                <w:szCs w:val="16"/>
              </w:rPr>
              <w:t>уборка бесхозяйных территорий;</w:t>
            </w:r>
          </w:p>
          <w:p w:rsidR="00206794" w:rsidRPr="0003234D" w:rsidRDefault="00206794" w:rsidP="00206794">
            <w:pPr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03234D">
              <w:rPr>
                <w:sz w:val="16"/>
                <w:szCs w:val="16"/>
              </w:rPr>
              <w:t>покос городских территорий;</w:t>
            </w:r>
          </w:p>
          <w:p w:rsidR="00206794" w:rsidRPr="0003234D" w:rsidRDefault="00206794" w:rsidP="00206794">
            <w:pPr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03234D">
              <w:rPr>
                <w:sz w:val="16"/>
                <w:szCs w:val="16"/>
              </w:rPr>
              <w:t>уборка территории зоны отдыха и другие мероприятия.</w:t>
            </w:r>
          </w:p>
          <w:p w:rsidR="00B70F75" w:rsidRPr="0003234D" w:rsidRDefault="00B70F75" w:rsidP="0003234D">
            <w:pPr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03234D">
              <w:rPr>
                <w:sz w:val="16"/>
                <w:szCs w:val="16"/>
              </w:rPr>
              <w:t>В 2018 году масштабные мероприятия по повышению качества городской среды проводились в рамках государственных программ Ставропольского края:</w:t>
            </w:r>
          </w:p>
          <w:p w:rsidR="00B70F75" w:rsidRPr="0003234D" w:rsidRDefault="00B70F75" w:rsidP="0003234D">
            <w:pPr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03234D">
              <w:rPr>
                <w:sz w:val="16"/>
                <w:szCs w:val="16"/>
              </w:rPr>
              <w:t>«Формирование современной городской среды» (в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Федерации»);</w:t>
            </w:r>
          </w:p>
          <w:p w:rsidR="00B70F75" w:rsidRPr="0003234D" w:rsidRDefault="00B70F75" w:rsidP="0003234D">
            <w:pPr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03234D">
              <w:rPr>
                <w:sz w:val="16"/>
                <w:szCs w:val="16"/>
              </w:rPr>
              <w:t>«Развитие градостроительства, строительства и архитектуры» (в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Федерации»);</w:t>
            </w:r>
          </w:p>
          <w:p w:rsidR="00B70F75" w:rsidRPr="0003234D" w:rsidRDefault="00B70F75" w:rsidP="0003234D">
            <w:pPr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03234D">
              <w:rPr>
                <w:sz w:val="16"/>
                <w:szCs w:val="16"/>
              </w:rPr>
              <w:t>«Развитие жилищно – коммунального хозяйства, защита населения и территории от чрезвычайных ситуаций»;</w:t>
            </w:r>
          </w:p>
          <w:p w:rsidR="00B70F75" w:rsidRPr="0003234D" w:rsidRDefault="00B70F75" w:rsidP="0003234D">
            <w:pPr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03234D">
              <w:rPr>
                <w:sz w:val="16"/>
                <w:szCs w:val="16"/>
              </w:rPr>
              <w:t>«Развитие транспортной системы и обеспечение безопасности дорожного движения»;</w:t>
            </w:r>
          </w:p>
          <w:p w:rsidR="00B70F75" w:rsidRPr="0003234D" w:rsidRDefault="00B70F75" w:rsidP="0003234D">
            <w:pPr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03234D">
              <w:rPr>
                <w:sz w:val="16"/>
                <w:szCs w:val="16"/>
              </w:rPr>
              <w:t>«Управление финансами».</w:t>
            </w:r>
          </w:p>
          <w:p w:rsidR="00B70F75" w:rsidRPr="0003234D" w:rsidRDefault="00B70F75" w:rsidP="0003234D">
            <w:pPr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03234D">
              <w:rPr>
                <w:sz w:val="16"/>
                <w:szCs w:val="16"/>
              </w:rPr>
              <w:t xml:space="preserve">В рамках данных </w:t>
            </w:r>
            <w:r w:rsidR="006E71B7">
              <w:rPr>
                <w:sz w:val="16"/>
                <w:szCs w:val="16"/>
              </w:rPr>
              <w:t xml:space="preserve">программ </w:t>
            </w:r>
            <w:r w:rsidRPr="0003234D">
              <w:rPr>
                <w:sz w:val="16"/>
                <w:szCs w:val="16"/>
              </w:rPr>
              <w:t>выполнялось:</w:t>
            </w:r>
          </w:p>
          <w:p w:rsidR="00B70F75" w:rsidRPr="0003234D" w:rsidRDefault="00B70F75" w:rsidP="0003234D">
            <w:pPr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03234D">
              <w:rPr>
                <w:sz w:val="16"/>
                <w:szCs w:val="16"/>
              </w:rPr>
              <w:t>благоустройство общественных территорий;</w:t>
            </w:r>
          </w:p>
          <w:p w:rsidR="00B70F75" w:rsidRPr="0003234D" w:rsidRDefault="00B70F75" w:rsidP="0003234D">
            <w:pPr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03234D">
              <w:rPr>
                <w:sz w:val="16"/>
                <w:szCs w:val="16"/>
              </w:rPr>
              <w:lastRenderedPageBreak/>
              <w:t>капитальный ремонт и ремонт автомобильных дорог общего пользования местного значения;</w:t>
            </w:r>
          </w:p>
          <w:p w:rsidR="00B70F75" w:rsidRPr="0003234D" w:rsidRDefault="00B70F75" w:rsidP="0003234D">
            <w:pPr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03234D">
              <w:rPr>
                <w:sz w:val="16"/>
                <w:szCs w:val="16"/>
              </w:rPr>
              <w:t>благоустройство прилегающей территории к ДК «Горького»;</w:t>
            </w:r>
          </w:p>
          <w:p w:rsidR="00B70F75" w:rsidRPr="0003234D" w:rsidRDefault="00B70F75" w:rsidP="0003234D">
            <w:pPr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03234D">
              <w:rPr>
                <w:sz w:val="16"/>
                <w:szCs w:val="16"/>
              </w:rPr>
              <w:t>благоустройство сквера у Центра реабилитации (по улице Чайковского);</w:t>
            </w:r>
          </w:p>
          <w:p w:rsidR="00B70F75" w:rsidRPr="0003234D" w:rsidRDefault="00B70F75" w:rsidP="0003234D">
            <w:pPr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03234D">
              <w:rPr>
                <w:sz w:val="16"/>
                <w:szCs w:val="16"/>
              </w:rPr>
              <w:t>благоустройство городского парка культуры и отдыха «Шерстяник»;</w:t>
            </w:r>
          </w:p>
          <w:p w:rsidR="00B70F75" w:rsidRPr="0003234D" w:rsidRDefault="00B70F75" w:rsidP="0003234D">
            <w:pPr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03234D">
              <w:rPr>
                <w:sz w:val="16"/>
                <w:szCs w:val="16"/>
              </w:rPr>
              <w:t>обеспечение жильем молодых семей;</w:t>
            </w:r>
          </w:p>
          <w:p w:rsidR="00B70F75" w:rsidRPr="0003234D" w:rsidRDefault="00B70F75" w:rsidP="0003234D">
            <w:pPr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03234D">
              <w:rPr>
                <w:sz w:val="16"/>
                <w:szCs w:val="16"/>
              </w:rPr>
              <w:t xml:space="preserve">проектирование, строительство (реконструкция) объектов инфраструктуры, необходимой для реализации инвестиционных проектов в </w:t>
            </w:r>
            <w:proofErr w:type="spellStart"/>
            <w:r w:rsidRPr="0003234D">
              <w:rPr>
                <w:sz w:val="16"/>
                <w:szCs w:val="16"/>
              </w:rPr>
              <w:t>монопрофильных</w:t>
            </w:r>
            <w:proofErr w:type="spellEnd"/>
            <w:r w:rsidRPr="0003234D">
              <w:rPr>
                <w:sz w:val="16"/>
                <w:szCs w:val="16"/>
              </w:rPr>
              <w:t xml:space="preserve"> муниципальных образованиях;</w:t>
            </w:r>
          </w:p>
          <w:p w:rsidR="00B70F75" w:rsidRPr="0003234D" w:rsidRDefault="00B70F75" w:rsidP="0003234D">
            <w:pPr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03234D">
              <w:rPr>
                <w:sz w:val="16"/>
                <w:szCs w:val="16"/>
              </w:rPr>
              <w:t>строительство путепровода.</w:t>
            </w:r>
          </w:p>
          <w:p w:rsidR="00B70F75" w:rsidRPr="00F34F9A" w:rsidRDefault="00B70F75" w:rsidP="00F34F9A">
            <w:pPr>
              <w:ind w:firstLine="343"/>
              <w:jc w:val="both"/>
              <w:rPr>
                <w:sz w:val="16"/>
                <w:szCs w:val="16"/>
              </w:rPr>
            </w:pPr>
            <w:r w:rsidRPr="00F34F9A">
              <w:rPr>
                <w:sz w:val="16"/>
                <w:szCs w:val="16"/>
              </w:rPr>
              <w:t>За 2018 год выдано 55 разрешений на строительство и реконструкцию объектов капитального строительства, 35 разрешений на ввод в эксплуатацию объектов капитального строительства, в том числе:</w:t>
            </w:r>
          </w:p>
          <w:p w:rsidR="00B70F75" w:rsidRPr="00F34F9A" w:rsidRDefault="00B70F75" w:rsidP="00F34F9A">
            <w:pPr>
              <w:ind w:firstLine="343"/>
              <w:jc w:val="both"/>
              <w:rPr>
                <w:sz w:val="16"/>
                <w:szCs w:val="16"/>
              </w:rPr>
            </w:pPr>
            <w:r w:rsidRPr="00F34F9A">
              <w:rPr>
                <w:sz w:val="16"/>
                <w:szCs w:val="16"/>
              </w:rPr>
              <w:t>многоквартирный жилой дом по улице Калинина, 175Г;</w:t>
            </w:r>
          </w:p>
          <w:p w:rsidR="00B70F75" w:rsidRPr="00F34F9A" w:rsidRDefault="00B70F75" w:rsidP="00F34F9A">
            <w:pPr>
              <w:ind w:firstLine="343"/>
              <w:jc w:val="both"/>
              <w:rPr>
                <w:sz w:val="16"/>
                <w:szCs w:val="16"/>
              </w:rPr>
            </w:pPr>
            <w:r w:rsidRPr="00F34F9A">
              <w:rPr>
                <w:sz w:val="16"/>
                <w:szCs w:val="16"/>
              </w:rPr>
              <w:t>многоквартирный жилой дом со встроенными нежилыми помещениями по улице Революционной, 262Б;</w:t>
            </w:r>
          </w:p>
          <w:p w:rsidR="00B70F75" w:rsidRPr="00F34F9A" w:rsidRDefault="00B70F75" w:rsidP="00F34F9A">
            <w:pPr>
              <w:ind w:firstLine="343"/>
              <w:jc w:val="both"/>
              <w:rPr>
                <w:sz w:val="16"/>
                <w:szCs w:val="16"/>
              </w:rPr>
            </w:pPr>
            <w:r w:rsidRPr="00F34F9A">
              <w:rPr>
                <w:sz w:val="16"/>
                <w:szCs w:val="16"/>
              </w:rPr>
              <w:t>первый этап многоэтажного многоквартирного жилого дома со встроенными нежилыми помещениями по улице Калинина, 149Б;</w:t>
            </w:r>
          </w:p>
          <w:p w:rsidR="00B70F75" w:rsidRPr="00F34F9A" w:rsidRDefault="00B70F75" w:rsidP="00F34F9A">
            <w:pPr>
              <w:suppressAutoHyphens/>
              <w:ind w:firstLine="343"/>
              <w:jc w:val="both"/>
              <w:rPr>
                <w:sz w:val="16"/>
                <w:szCs w:val="16"/>
              </w:rPr>
            </w:pPr>
            <w:r w:rsidRPr="00F34F9A">
              <w:rPr>
                <w:sz w:val="16"/>
                <w:szCs w:val="16"/>
              </w:rPr>
              <w:t>многоквартирный жилой дом по улице Калинина, 200;</w:t>
            </w:r>
          </w:p>
          <w:p w:rsidR="00B70F75" w:rsidRPr="00F34F9A" w:rsidRDefault="00B70F75" w:rsidP="00F34F9A">
            <w:pPr>
              <w:suppressAutoHyphens/>
              <w:ind w:firstLine="343"/>
              <w:jc w:val="both"/>
              <w:rPr>
                <w:sz w:val="16"/>
                <w:szCs w:val="16"/>
              </w:rPr>
            </w:pPr>
            <w:r w:rsidRPr="00F34F9A">
              <w:rPr>
                <w:sz w:val="16"/>
                <w:szCs w:val="16"/>
              </w:rPr>
              <w:t>многоквартирный жилой дом по улице Новой, 3;</w:t>
            </w:r>
          </w:p>
          <w:p w:rsidR="00B70F75" w:rsidRPr="00F34F9A" w:rsidRDefault="00B70F75" w:rsidP="00F34F9A">
            <w:pPr>
              <w:suppressAutoHyphens/>
              <w:ind w:firstLine="343"/>
              <w:jc w:val="both"/>
              <w:rPr>
                <w:sz w:val="16"/>
                <w:szCs w:val="16"/>
              </w:rPr>
            </w:pPr>
            <w:r w:rsidRPr="00F34F9A">
              <w:rPr>
                <w:sz w:val="16"/>
                <w:szCs w:val="16"/>
              </w:rPr>
              <w:t>многоквартирный жилой дом по улице Калинина, 192.</w:t>
            </w:r>
          </w:p>
          <w:p w:rsidR="00B70F75" w:rsidRPr="00F34F9A" w:rsidRDefault="00B70F75" w:rsidP="00F34F9A">
            <w:pPr>
              <w:ind w:firstLine="343"/>
              <w:jc w:val="both"/>
              <w:rPr>
                <w:sz w:val="16"/>
                <w:szCs w:val="16"/>
              </w:rPr>
            </w:pPr>
            <w:r w:rsidRPr="00F34F9A">
              <w:rPr>
                <w:sz w:val="16"/>
                <w:szCs w:val="16"/>
              </w:rPr>
              <w:t>В 2018 году выданы разрешения на строительство:</w:t>
            </w:r>
          </w:p>
          <w:p w:rsidR="00B70F75" w:rsidRPr="00F34F9A" w:rsidRDefault="00B70F75" w:rsidP="00F34F9A">
            <w:pPr>
              <w:ind w:firstLine="343"/>
              <w:jc w:val="both"/>
              <w:rPr>
                <w:sz w:val="16"/>
                <w:szCs w:val="16"/>
              </w:rPr>
            </w:pPr>
            <w:r w:rsidRPr="00F34F9A">
              <w:rPr>
                <w:sz w:val="16"/>
                <w:szCs w:val="16"/>
              </w:rPr>
              <w:t>многоквартирного жилого дома по улице Калинина, 218;</w:t>
            </w:r>
          </w:p>
          <w:p w:rsidR="00B70F75" w:rsidRPr="00F34F9A" w:rsidRDefault="00B70F75" w:rsidP="00F34F9A">
            <w:pPr>
              <w:ind w:firstLine="343"/>
              <w:jc w:val="both"/>
              <w:rPr>
                <w:sz w:val="16"/>
                <w:szCs w:val="16"/>
              </w:rPr>
            </w:pPr>
            <w:r w:rsidRPr="00F34F9A">
              <w:rPr>
                <w:sz w:val="16"/>
                <w:szCs w:val="16"/>
              </w:rPr>
              <w:t>многоквартирного жилого дома по улице Калинина, 192/1;</w:t>
            </w:r>
          </w:p>
          <w:p w:rsidR="00B70F75" w:rsidRPr="00F34F9A" w:rsidRDefault="00B70F75" w:rsidP="00F34F9A">
            <w:pPr>
              <w:ind w:firstLine="343"/>
              <w:jc w:val="both"/>
              <w:rPr>
                <w:sz w:val="16"/>
                <w:szCs w:val="16"/>
              </w:rPr>
            </w:pPr>
            <w:r w:rsidRPr="00F34F9A">
              <w:rPr>
                <w:sz w:val="16"/>
                <w:szCs w:val="16"/>
              </w:rPr>
              <w:t>многоквартирного жилого дома по улице Калинина, 171Б;</w:t>
            </w:r>
          </w:p>
          <w:p w:rsidR="00B70F75" w:rsidRPr="00F34F9A" w:rsidRDefault="00B70F75" w:rsidP="00F34F9A">
            <w:pPr>
              <w:ind w:firstLine="343"/>
              <w:jc w:val="both"/>
              <w:rPr>
                <w:sz w:val="16"/>
                <w:szCs w:val="16"/>
              </w:rPr>
            </w:pPr>
            <w:r w:rsidRPr="00F34F9A">
              <w:rPr>
                <w:sz w:val="16"/>
                <w:szCs w:val="16"/>
              </w:rPr>
              <w:t>многоквартирного жилого дома по улице Калинина, 206/1;</w:t>
            </w:r>
          </w:p>
          <w:p w:rsidR="00B70F75" w:rsidRPr="00F34F9A" w:rsidRDefault="00B70F75" w:rsidP="00F34F9A">
            <w:pPr>
              <w:ind w:firstLine="343"/>
              <w:jc w:val="both"/>
              <w:rPr>
                <w:sz w:val="16"/>
                <w:szCs w:val="16"/>
              </w:rPr>
            </w:pPr>
            <w:r w:rsidRPr="00F34F9A">
              <w:rPr>
                <w:sz w:val="16"/>
                <w:szCs w:val="16"/>
              </w:rPr>
              <w:t>В рамках муниципальной программы «Обеспечение жильем молодых семей в городе Невинномысске» молодым семьям выписано:</w:t>
            </w:r>
          </w:p>
          <w:p w:rsidR="00B70F75" w:rsidRPr="00F34F9A" w:rsidRDefault="00B70F75" w:rsidP="00F34F9A">
            <w:pPr>
              <w:pStyle w:val="unformattexttopleveltext"/>
              <w:shd w:val="clear" w:color="auto" w:fill="FFFFFF"/>
              <w:suppressAutoHyphens/>
              <w:spacing w:before="0" w:beforeAutospacing="0" w:after="0" w:afterAutospacing="0"/>
              <w:ind w:firstLine="343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4F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свидетельств о праве на получение социальной выплаты на приобретение жилого помещения или создание объекта индивидуального жилищного строительства, из них 7 реализовано; </w:t>
            </w:r>
          </w:p>
          <w:p w:rsidR="00B70F75" w:rsidRDefault="00B70F75" w:rsidP="00F34F9A">
            <w:pPr>
              <w:suppressAutoHyphens/>
              <w:ind w:firstLine="343"/>
              <w:jc w:val="both"/>
              <w:rPr>
                <w:sz w:val="16"/>
                <w:szCs w:val="16"/>
              </w:rPr>
            </w:pPr>
            <w:r w:rsidRPr="00F34F9A">
              <w:rPr>
                <w:sz w:val="16"/>
                <w:szCs w:val="16"/>
              </w:rPr>
              <w:t xml:space="preserve">82 извещения о предоставлении социальной выплаты на приобретение (строительство) жилья за счет средств бюджета Ставропольского края, в том числе </w:t>
            </w:r>
            <w:r w:rsidR="00495AE9">
              <w:rPr>
                <w:sz w:val="16"/>
                <w:szCs w:val="16"/>
              </w:rPr>
              <w:t xml:space="preserve">               </w:t>
            </w:r>
            <w:r w:rsidRPr="00F34F9A">
              <w:rPr>
                <w:sz w:val="16"/>
                <w:szCs w:val="16"/>
              </w:rPr>
              <w:t>66 извещений малосемейным гражданам (29 реализовано), 16 - многодетным семьям (13 реализовано).</w:t>
            </w:r>
          </w:p>
          <w:p w:rsidR="006E71B7" w:rsidRPr="008D198C" w:rsidRDefault="006E71B7" w:rsidP="006E71B7">
            <w:pPr>
              <w:suppressAutoHyphens/>
              <w:ind w:firstLine="34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з</w:t>
            </w:r>
            <w:r w:rsidRPr="00F34F9A">
              <w:rPr>
                <w:sz w:val="16"/>
                <w:szCs w:val="16"/>
              </w:rPr>
              <w:t xml:space="preserve">а 2018 год введено 28427 кв. метров жилья, что в 2 раза выше уровня </w:t>
            </w:r>
            <w:r w:rsidR="00495AE9">
              <w:rPr>
                <w:sz w:val="16"/>
                <w:szCs w:val="16"/>
              </w:rPr>
              <w:t xml:space="preserve">                  </w:t>
            </w:r>
            <w:r w:rsidRPr="00F34F9A">
              <w:rPr>
                <w:sz w:val="16"/>
                <w:szCs w:val="16"/>
              </w:rPr>
              <w:t xml:space="preserve">2017 года. Из них построено населением 6396 кв. метров, что составляет 136,5 % от уровня 2017 года. </w:t>
            </w:r>
          </w:p>
        </w:tc>
        <w:tc>
          <w:tcPr>
            <w:tcW w:w="2254" w:type="dxa"/>
            <w:gridSpan w:val="2"/>
          </w:tcPr>
          <w:p w:rsidR="00B70F75" w:rsidRPr="008D198C" w:rsidRDefault="00B70F75" w:rsidP="009325CC">
            <w:pPr>
              <w:shd w:val="clear" w:color="auto" w:fill="FFFFFF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lastRenderedPageBreak/>
              <w:t>Общая площадь жилых помещений, приходящаяся в среднем на 1 жителя города Невинномысска</w:t>
            </w:r>
          </w:p>
        </w:tc>
        <w:tc>
          <w:tcPr>
            <w:tcW w:w="1315" w:type="dxa"/>
          </w:tcPr>
          <w:p w:rsidR="00B70F75" w:rsidRPr="008D198C" w:rsidRDefault="00B70F75" w:rsidP="009325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кв. метров</w:t>
            </w:r>
          </w:p>
        </w:tc>
        <w:tc>
          <w:tcPr>
            <w:tcW w:w="1372" w:type="dxa"/>
            <w:vAlign w:val="center"/>
          </w:tcPr>
          <w:p w:rsidR="00B70F75" w:rsidRPr="008D198C" w:rsidRDefault="00B70F75" w:rsidP="00063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98C">
              <w:rPr>
                <w:rFonts w:ascii="Times New Roman" w:hAnsi="Times New Roman" w:cs="Times New Roman"/>
                <w:sz w:val="16"/>
                <w:szCs w:val="16"/>
              </w:rPr>
              <w:t>23,90</w:t>
            </w:r>
          </w:p>
        </w:tc>
        <w:tc>
          <w:tcPr>
            <w:tcW w:w="1240" w:type="dxa"/>
            <w:vAlign w:val="center"/>
          </w:tcPr>
          <w:p w:rsidR="00B70F75" w:rsidRPr="008D198C" w:rsidRDefault="00B70F75" w:rsidP="00063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23,90</w:t>
            </w:r>
          </w:p>
        </w:tc>
      </w:tr>
      <w:tr w:rsidR="00B70F75" w:rsidRPr="008D198C" w:rsidTr="00547E3A">
        <w:tc>
          <w:tcPr>
            <w:tcW w:w="566" w:type="dxa"/>
            <w:vMerge/>
          </w:tcPr>
          <w:p w:rsidR="00B70F75" w:rsidRPr="008D198C" w:rsidRDefault="00B70F75" w:rsidP="00490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2" w:type="dxa"/>
            <w:vMerge/>
          </w:tcPr>
          <w:p w:rsidR="00B70F75" w:rsidRPr="008D198C" w:rsidRDefault="00B70F75" w:rsidP="009325CC">
            <w:pPr>
              <w:rPr>
                <w:sz w:val="16"/>
                <w:szCs w:val="16"/>
              </w:rPr>
            </w:pPr>
          </w:p>
        </w:tc>
        <w:tc>
          <w:tcPr>
            <w:tcW w:w="6131" w:type="dxa"/>
            <w:vMerge/>
          </w:tcPr>
          <w:p w:rsidR="00B70F75" w:rsidRPr="008D198C" w:rsidRDefault="00B70F75" w:rsidP="009325CC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  <w:gridSpan w:val="2"/>
          </w:tcPr>
          <w:p w:rsidR="00B70F75" w:rsidRPr="008D198C" w:rsidRDefault="00B70F75" w:rsidP="009325CC">
            <w:pPr>
              <w:shd w:val="clear" w:color="auto" w:fill="FFFFFF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Уровень износа коммунальной инфраструктуры</w:t>
            </w:r>
          </w:p>
        </w:tc>
        <w:tc>
          <w:tcPr>
            <w:tcW w:w="1315" w:type="dxa"/>
            <w:vAlign w:val="center"/>
          </w:tcPr>
          <w:p w:rsidR="00B70F75" w:rsidRPr="008D198C" w:rsidRDefault="00B70F75" w:rsidP="009325CC">
            <w:pPr>
              <w:jc w:val="center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% ,не более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70F75" w:rsidRPr="008D198C" w:rsidRDefault="00B70F75" w:rsidP="00A03EFC">
            <w:pPr>
              <w:jc w:val="center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75,40</w:t>
            </w:r>
          </w:p>
        </w:tc>
        <w:tc>
          <w:tcPr>
            <w:tcW w:w="1240" w:type="dxa"/>
            <w:vAlign w:val="center"/>
          </w:tcPr>
          <w:p w:rsidR="00B70F75" w:rsidRPr="008D198C" w:rsidRDefault="00B70F75" w:rsidP="00A03E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75,40</w:t>
            </w:r>
          </w:p>
        </w:tc>
      </w:tr>
      <w:tr w:rsidR="00B70F75" w:rsidRPr="008D198C" w:rsidTr="00547E3A">
        <w:tc>
          <w:tcPr>
            <w:tcW w:w="566" w:type="dxa"/>
            <w:vMerge/>
          </w:tcPr>
          <w:p w:rsidR="00B70F75" w:rsidRPr="008D198C" w:rsidRDefault="00B70F75" w:rsidP="00490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2" w:type="dxa"/>
            <w:vMerge/>
          </w:tcPr>
          <w:p w:rsidR="00B70F75" w:rsidRPr="008D198C" w:rsidRDefault="00B70F75" w:rsidP="009325CC">
            <w:pPr>
              <w:rPr>
                <w:sz w:val="16"/>
                <w:szCs w:val="16"/>
              </w:rPr>
            </w:pPr>
          </w:p>
        </w:tc>
        <w:tc>
          <w:tcPr>
            <w:tcW w:w="6131" w:type="dxa"/>
            <w:vMerge/>
          </w:tcPr>
          <w:p w:rsidR="00B70F75" w:rsidRPr="008D198C" w:rsidRDefault="00B70F75" w:rsidP="009325CC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  <w:gridSpan w:val="2"/>
          </w:tcPr>
          <w:p w:rsidR="00B70F75" w:rsidRPr="008D198C" w:rsidRDefault="00B70F75" w:rsidP="009325CC">
            <w:pPr>
              <w:jc w:val="both"/>
              <w:rPr>
                <w:sz w:val="16"/>
                <w:szCs w:val="16"/>
              </w:rPr>
            </w:pPr>
            <w:r w:rsidRPr="008D198C">
              <w:rPr>
                <w:color w:val="000000"/>
                <w:sz w:val="16"/>
                <w:szCs w:val="16"/>
              </w:rPr>
              <w:t>Доля протяженности автомобильных дорог, не отвечающих нормативным требованиям, в общей протяженности автомобильных дорог на территории города</w:t>
            </w:r>
          </w:p>
        </w:tc>
        <w:tc>
          <w:tcPr>
            <w:tcW w:w="1315" w:type="dxa"/>
            <w:vAlign w:val="center"/>
          </w:tcPr>
          <w:p w:rsidR="00B70F75" w:rsidRPr="008D198C" w:rsidRDefault="00B70F75" w:rsidP="009325CC">
            <w:pPr>
              <w:jc w:val="center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%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70F75" w:rsidRPr="008D198C" w:rsidRDefault="00B70F75" w:rsidP="00A03E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22,37</w:t>
            </w:r>
          </w:p>
        </w:tc>
        <w:tc>
          <w:tcPr>
            <w:tcW w:w="1240" w:type="dxa"/>
            <w:vAlign w:val="center"/>
          </w:tcPr>
          <w:p w:rsidR="00B70F75" w:rsidRPr="008D198C" w:rsidRDefault="00B70F75" w:rsidP="00A03E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21,60</w:t>
            </w:r>
          </w:p>
        </w:tc>
      </w:tr>
      <w:tr w:rsidR="00B70F75" w:rsidRPr="008D198C" w:rsidTr="00547E3A">
        <w:tc>
          <w:tcPr>
            <w:tcW w:w="566" w:type="dxa"/>
            <w:vMerge/>
          </w:tcPr>
          <w:p w:rsidR="00B70F75" w:rsidRPr="008D198C" w:rsidRDefault="00B70F75" w:rsidP="00490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2" w:type="dxa"/>
            <w:vMerge/>
          </w:tcPr>
          <w:p w:rsidR="00B70F75" w:rsidRPr="008D198C" w:rsidRDefault="00B70F75" w:rsidP="009325CC">
            <w:pPr>
              <w:rPr>
                <w:sz w:val="16"/>
                <w:szCs w:val="16"/>
              </w:rPr>
            </w:pPr>
          </w:p>
        </w:tc>
        <w:tc>
          <w:tcPr>
            <w:tcW w:w="6131" w:type="dxa"/>
            <w:vMerge/>
          </w:tcPr>
          <w:p w:rsidR="00B70F75" w:rsidRPr="008D198C" w:rsidRDefault="00B70F75" w:rsidP="009325CC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  <w:gridSpan w:val="2"/>
          </w:tcPr>
          <w:p w:rsidR="00B70F75" w:rsidRPr="008D198C" w:rsidRDefault="00B70F75" w:rsidP="009325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Доля благоустроенных дворовых территорий  от общего количества дворовых территорий (нарастающим итогом)</w:t>
            </w:r>
          </w:p>
        </w:tc>
        <w:tc>
          <w:tcPr>
            <w:tcW w:w="1315" w:type="dxa"/>
            <w:vAlign w:val="center"/>
          </w:tcPr>
          <w:p w:rsidR="00B70F75" w:rsidRPr="008D198C" w:rsidRDefault="00B70F75" w:rsidP="009325CC">
            <w:pPr>
              <w:jc w:val="center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%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70F75" w:rsidRPr="008D198C" w:rsidRDefault="00B70F75" w:rsidP="00A03EFC">
            <w:pPr>
              <w:jc w:val="center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2,80</w:t>
            </w:r>
          </w:p>
        </w:tc>
        <w:tc>
          <w:tcPr>
            <w:tcW w:w="1240" w:type="dxa"/>
            <w:vAlign w:val="center"/>
          </w:tcPr>
          <w:p w:rsidR="00B70F75" w:rsidRPr="008D198C" w:rsidRDefault="00B70F75" w:rsidP="00A03E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</w:t>
            </w:r>
          </w:p>
        </w:tc>
      </w:tr>
      <w:tr w:rsidR="00B70F75" w:rsidRPr="008D198C" w:rsidTr="00547E3A">
        <w:tc>
          <w:tcPr>
            <w:tcW w:w="566" w:type="dxa"/>
            <w:vMerge/>
          </w:tcPr>
          <w:p w:rsidR="00B70F75" w:rsidRPr="008D198C" w:rsidRDefault="00B70F75" w:rsidP="00490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2" w:type="dxa"/>
            <w:vMerge/>
          </w:tcPr>
          <w:p w:rsidR="00B70F75" w:rsidRPr="008D198C" w:rsidRDefault="00B70F75" w:rsidP="009325CC">
            <w:pPr>
              <w:rPr>
                <w:sz w:val="16"/>
                <w:szCs w:val="16"/>
              </w:rPr>
            </w:pPr>
          </w:p>
        </w:tc>
        <w:tc>
          <w:tcPr>
            <w:tcW w:w="6131" w:type="dxa"/>
            <w:vMerge/>
          </w:tcPr>
          <w:p w:rsidR="00B70F75" w:rsidRPr="008D198C" w:rsidRDefault="00B70F75" w:rsidP="009325CC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  <w:gridSpan w:val="2"/>
          </w:tcPr>
          <w:p w:rsidR="00B70F75" w:rsidRPr="008D198C" w:rsidRDefault="00B70F75" w:rsidP="009325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Максимальная разовая концентрация от уровня ПДК</w:t>
            </w:r>
          </w:p>
        </w:tc>
        <w:tc>
          <w:tcPr>
            <w:tcW w:w="1315" w:type="dxa"/>
            <w:vAlign w:val="center"/>
          </w:tcPr>
          <w:p w:rsidR="00B70F75" w:rsidRPr="00E411A3" w:rsidRDefault="00B70F75" w:rsidP="00490C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B70F75" w:rsidRPr="00E411A3" w:rsidRDefault="00B70F75" w:rsidP="00490C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B70F75" w:rsidRPr="008D198C" w:rsidRDefault="00B70F75" w:rsidP="00A03EFC">
            <w:pPr>
              <w:jc w:val="center"/>
              <w:rPr>
                <w:sz w:val="16"/>
                <w:szCs w:val="16"/>
              </w:rPr>
            </w:pPr>
          </w:p>
        </w:tc>
      </w:tr>
      <w:tr w:rsidR="00B70F75" w:rsidRPr="008D198C" w:rsidTr="00547E3A">
        <w:tc>
          <w:tcPr>
            <w:tcW w:w="566" w:type="dxa"/>
            <w:vMerge/>
          </w:tcPr>
          <w:p w:rsidR="00B70F75" w:rsidRPr="008D198C" w:rsidRDefault="00B70F75" w:rsidP="00490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2" w:type="dxa"/>
            <w:vMerge/>
          </w:tcPr>
          <w:p w:rsidR="00B70F75" w:rsidRPr="008D198C" w:rsidRDefault="00B70F75" w:rsidP="009325CC">
            <w:pPr>
              <w:rPr>
                <w:sz w:val="16"/>
                <w:szCs w:val="16"/>
              </w:rPr>
            </w:pPr>
          </w:p>
        </w:tc>
        <w:tc>
          <w:tcPr>
            <w:tcW w:w="6131" w:type="dxa"/>
            <w:vMerge/>
          </w:tcPr>
          <w:p w:rsidR="00B70F75" w:rsidRPr="008D198C" w:rsidRDefault="00B70F75" w:rsidP="009325CC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B70F75" w:rsidRPr="0003234D" w:rsidRDefault="00B70F75" w:rsidP="00766DB6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3234D">
              <w:rPr>
                <w:sz w:val="16"/>
                <w:szCs w:val="16"/>
              </w:rPr>
              <w:t>диоксида серы</w:t>
            </w:r>
          </w:p>
        </w:tc>
        <w:tc>
          <w:tcPr>
            <w:tcW w:w="1315" w:type="dxa"/>
            <w:vAlign w:val="center"/>
          </w:tcPr>
          <w:p w:rsidR="00B70F75" w:rsidRDefault="00B70F75" w:rsidP="00490C9E">
            <w:pPr>
              <w:jc w:val="center"/>
            </w:pPr>
            <w:r w:rsidRPr="002C7CBA">
              <w:rPr>
                <w:sz w:val="16"/>
                <w:szCs w:val="16"/>
              </w:rPr>
              <w:t>не выше 1 ПДК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70F75" w:rsidRDefault="00B70F75" w:rsidP="00490C9E">
            <w:pPr>
              <w:jc w:val="center"/>
            </w:pPr>
            <w:r w:rsidRPr="002C7CBA">
              <w:rPr>
                <w:sz w:val="16"/>
                <w:szCs w:val="16"/>
              </w:rPr>
              <w:t>не выше 1 ПДК</w:t>
            </w:r>
          </w:p>
        </w:tc>
        <w:tc>
          <w:tcPr>
            <w:tcW w:w="1240" w:type="dxa"/>
            <w:vAlign w:val="center"/>
          </w:tcPr>
          <w:p w:rsidR="00B70F75" w:rsidRPr="008D198C" w:rsidRDefault="00B70F75" w:rsidP="00A03E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 от ПДК</w:t>
            </w:r>
          </w:p>
        </w:tc>
      </w:tr>
      <w:tr w:rsidR="00B70F75" w:rsidRPr="008D198C" w:rsidTr="00547E3A">
        <w:tc>
          <w:tcPr>
            <w:tcW w:w="566" w:type="dxa"/>
            <w:vMerge/>
          </w:tcPr>
          <w:p w:rsidR="00B70F75" w:rsidRPr="008D198C" w:rsidRDefault="00B70F75" w:rsidP="00490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2" w:type="dxa"/>
            <w:vMerge/>
          </w:tcPr>
          <w:p w:rsidR="00B70F75" w:rsidRPr="008D198C" w:rsidRDefault="00B70F75" w:rsidP="009325CC">
            <w:pPr>
              <w:rPr>
                <w:sz w:val="16"/>
                <w:szCs w:val="16"/>
              </w:rPr>
            </w:pPr>
          </w:p>
        </w:tc>
        <w:tc>
          <w:tcPr>
            <w:tcW w:w="6131" w:type="dxa"/>
            <w:vMerge/>
          </w:tcPr>
          <w:p w:rsidR="00B70F75" w:rsidRPr="008D198C" w:rsidRDefault="00B70F75" w:rsidP="009325CC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B70F75" w:rsidRPr="0003234D" w:rsidRDefault="00B70F75" w:rsidP="00766DB6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3234D">
              <w:rPr>
                <w:sz w:val="16"/>
                <w:szCs w:val="16"/>
              </w:rPr>
              <w:t>оксида углерода</w:t>
            </w:r>
          </w:p>
        </w:tc>
        <w:tc>
          <w:tcPr>
            <w:tcW w:w="1315" w:type="dxa"/>
            <w:vAlign w:val="center"/>
          </w:tcPr>
          <w:p w:rsidR="00B70F75" w:rsidRDefault="00B70F75" w:rsidP="00490C9E">
            <w:pPr>
              <w:jc w:val="center"/>
            </w:pPr>
            <w:r w:rsidRPr="002C7CBA">
              <w:rPr>
                <w:sz w:val="16"/>
                <w:szCs w:val="16"/>
              </w:rPr>
              <w:t>не выше 1 ПДК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70F75" w:rsidRDefault="00B70F75" w:rsidP="00490C9E">
            <w:pPr>
              <w:jc w:val="center"/>
            </w:pPr>
            <w:r w:rsidRPr="002C7CBA">
              <w:rPr>
                <w:sz w:val="16"/>
                <w:szCs w:val="16"/>
              </w:rPr>
              <w:t>не выше 1 ПДК</w:t>
            </w:r>
          </w:p>
        </w:tc>
        <w:tc>
          <w:tcPr>
            <w:tcW w:w="1240" w:type="dxa"/>
            <w:vAlign w:val="center"/>
          </w:tcPr>
          <w:p w:rsidR="00B70F75" w:rsidRPr="008D198C" w:rsidRDefault="00B70F75" w:rsidP="00A03E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 от ПДК</w:t>
            </w:r>
          </w:p>
        </w:tc>
      </w:tr>
      <w:tr w:rsidR="00B70F75" w:rsidRPr="008D198C" w:rsidTr="00547E3A">
        <w:tc>
          <w:tcPr>
            <w:tcW w:w="566" w:type="dxa"/>
            <w:vMerge/>
          </w:tcPr>
          <w:p w:rsidR="00B70F75" w:rsidRPr="008D198C" w:rsidRDefault="00B70F75" w:rsidP="00490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2" w:type="dxa"/>
            <w:vMerge/>
          </w:tcPr>
          <w:p w:rsidR="00B70F75" w:rsidRPr="008D198C" w:rsidRDefault="00B70F75" w:rsidP="009325CC">
            <w:pPr>
              <w:rPr>
                <w:sz w:val="16"/>
                <w:szCs w:val="16"/>
              </w:rPr>
            </w:pPr>
          </w:p>
        </w:tc>
        <w:tc>
          <w:tcPr>
            <w:tcW w:w="6131" w:type="dxa"/>
            <w:vMerge/>
          </w:tcPr>
          <w:p w:rsidR="00B70F75" w:rsidRPr="008D198C" w:rsidRDefault="00B70F75" w:rsidP="009325CC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B70F75" w:rsidRPr="0003234D" w:rsidRDefault="00B70F75" w:rsidP="00766DB6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3234D">
              <w:rPr>
                <w:sz w:val="16"/>
                <w:szCs w:val="16"/>
              </w:rPr>
              <w:t>диоксида азота</w:t>
            </w:r>
          </w:p>
        </w:tc>
        <w:tc>
          <w:tcPr>
            <w:tcW w:w="1315" w:type="dxa"/>
            <w:vAlign w:val="center"/>
          </w:tcPr>
          <w:p w:rsidR="00B70F75" w:rsidRDefault="00B70F75" w:rsidP="00490C9E">
            <w:pPr>
              <w:jc w:val="center"/>
            </w:pPr>
            <w:r w:rsidRPr="002C7CBA">
              <w:rPr>
                <w:sz w:val="16"/>
                <w:szCs w:val="16"/>
              </w:rPr>
              <w:t>не выше 1 ПДК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70F75" w:rsidRDefault="00B70F75" w:rsidP="00490C9E">
            <w:pPr>
              <w:jc w:val="center"/>
            </w:pPr>
            <w:r w:rsidRPr="002C7CBA">
              <w:rPr>
                <w:sz w:val="16"/>
                <w:szCs w:val="16"/>
              </w:rPr>
              <w:t>не выше 1 ПДК</w:t>
            </w:r>
          </w:p>
        </w:tc>
        <w:tc>
          <w:tcPr>
            <w:tcW w:w="1240" w:type="dxa"/>
            <w:vAlign w:val="center"/>
          </w:tcPr>
          <w:p w:rsidR="00B70F75" w:rsidRPr="008D198C" w:rsidRDefault="00B70F75" w:rsidP="00A03E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0,5-0,8 от ПДК</w:t>
            </w:r>
          </w:p>
        </w:tc>
      </w:tr>
      <w:tr w:rsidR="00BC5D1F" w:rsidRPr="008D198C" w:rsidTr="00E334A6">
        <w:tc>
          <w:tcPr>
            <w:tcW w:w="566" w:type="dxa"/>
          </w:tcPr>
          <w:p w:rsidR="00BC5D1F" w:rsidRPr="008D198C" w:rsidRDefault="00BC5D1F" w:rsidP="00490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64" w:type="dxa"/>
            <w:gridSpan w:val="7"/>
            <w:shd w:val="clear" w:color="auto" w:fill="auto"/>
            <w:vAlign w:val="center"/>
          </w:tcPr>
          <w:p w:rsidR="00BC5D1F" w:rsidRPr="00BC5D1F" w:rsidRDefault="00FB1D00" w:rsidP="00F17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19 показателей </w:t>
            </w:r>
            <w:r w:rsidR="00F17780">
              <w:rPr>
                <w:sz w:val="16"/>
                <w:szCs w:val="16"/>
              </w:rPr>
              <w:t>достигнуто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17, задача решена на </w:t>
            </w:r>
            <w:r w:rsidR="00BC5D1F" w:rsidRPr="00BC5D1F">
              <w:rPr>
                <w:sz w:val="16"/>
                <w:szCs w:val="16"/>
              </w:rPr>
              <w:t>89,47 %.</w:t>
            </w:r>
          </w:p>
        </w:tc>
      </w:tr>
      <w:tr w:rsidR="00B70F75" w:rsidRPr="008D198C" w:rsidTr="00AA5D3C">
        <w:tc>
          <w:tcPr>
            <w:tcW w:w="15230" w:type="dxa"/>
            <w:gridSpan w:val="8"/>
            <w:tcBorders>
              <w:bottom w:val="single" w:sz="4" w:space="0" w:color="auto"/>
            </w:tcBorders>
            <w:vAlign w:val="center"/>
          </w:tcPr>
          <w:p w:rsidR="00B70F75" w:rsidRPr="008D198C" w:rsidRDefault="00B70F75" w:rsidP="00B70F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98C">
              <w:rPr>
                <w:rFonts w:ascii="Times New Roman" w:hAnsi="Times New Roman" w:cs="Times New Roman"/>
                <w:sz w:val="16"/>
                <w:szCs w:val="16"/>
              </w:rPr>
              <w:t>Задача 2 социально-экономического развития города:</w:t>
            </w:r>
          </w:p>
          <w:p w:rsidR="00B70F75" w:rsidRDefault="00B70F75" w:rsidP="00B70F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98C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формирования конкурентоспособной, динамичной и высокотехнологичной экономики, позволяющей обеспечить устойчивое экономическое развитие города Невинномысска</w:t>
            </w:r>
          </w:p>
        </w:tc>
      </w:tr>
      <w:tr w:rsidR="00445C10" w:rsidRPr="008D198C" w:rsidTr="00AA5D3C">
        <w:trPr>
          <w:trHeight w:val="9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0" w:rsidRPr="008D198C" w:rsidRDefault="00445C10" w:rsidP="00490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98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0" w:rsidRPr="008D198C" w:rsidRDefault="00445C10" w:rsidP="009325CC">
            <w:pPr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Реализация мероприятий муниципальной программы «</w:t>
            </w:r>
            <w:r w:rsidRPr="008D198C">
              <w:rPr>
                <w:bCs/>
                <w:sz w:val="16"/>
                <w:szCs w:val="16"/>
              </w:rPr>
              <w:t>Поддержка субъектов малого и среднего предпринимательства в городе Невинномысске</w:t>
            </w:r>
            <w:r w:rsidRPr="008D198C">
              <w:rPr>
                <w:sz w:val="16"/>
                <w:szCs w:val="16"/>
              </w:rPr>
              <w:t>»</w:t>
            </w:r>
          </w:p>
        </w:tc>
        <w:tc>
          <w:tcPr>
            <w:tcW w:w="6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94" w:rsidRDefault="00206794" w:rsidP="00F163A1">
            <w:pPr>
              <w:suppressAutoHyphens/>
              <w:ind w:firstLine="484"/>
              <w:jc w:val="both"/>
              <w:rPr>
                <w:sz w:val="16"/>
                <w:szCs w:val="16"/>
              </w:rPr>
            </w:pPr>
            <w:r w:rsidRPr="00EB47D1">
              <w:rPr>
                <w:sz w:val="16"/>
                <w:szCs w:val="16"/>
              </w:rPr>
              <w:t xml:space="preserve">Число субъектов малого и среднего предпринимательства </w:t>
            </w:r>
            <w:r w:rsidR="006E71B7">
              <w:rPr>
                <w:sz w:val="16"/>
                <w:szCs w:val="16"/>
              </w:rPr>
              <w:t>в 2018 году</w:t>
            </w:r>
            <w:r w:rsidRPr="00EB47D1">
              <w:rPr>
                <w:sz w:val="16"/>
                <w:szCs w:val="16"/>
              </w:rPr>
              <w:t xml:space="preserve"> снизилось на 66 субъектов (4504). </w:t>
            </w:r>
          </w:p>
          <w:p w:rsidR="00445C10" w:rsidRPr="00542709" w:rsidRDefault="00445C10" w:rsidP="00F163A1">
            <w:pPr>
              <w:suppressAutoHyphens/>
              <w:ind w:firstLine="484"/>
              <w:jc w:val="both"/>
              <w:rPr>
                <w:sz w:val="16"/>
                <w:szCs w:val="16"/>
              </w:rPr>
            </w:pPr>
            <w:r w:rsidRPr="00F163A1">
              <w:rPr>
                <w:sz w:val="16"/>
                <w:szCs w:val="16"/>
              </w:rPr>
              <w:t xml:space="preserve">В 2018 году принималось участие в государственной программе Ставропольского края «Экономическое развитие и инновационная экономика» (в рамках государственной программы Российской Федерации «Экономическое развитие и инновационная экономика»). </w:t>
            </w:r>
            <w:r w:rsidRPr="00542709">
              <w:rPr>
                <w:sz w:val="16"/>
                <w:szCs w:val="16"/>
              </w:rPr>
              <w:t xml:space="preserve">В рамках муниципальной программы «Поддержка субъектов малого и среднего предпринимательства в городе Невинномысске» с </w:t>
            </w:r>
            <w:r w:rsidR="00495AE9">
              <w:rPr>
                <w:sz w:val="16"/>
                <w:szCs w:val="16"/>
              </w:rPr>
              <w:t xml:space="preserve">                  </w:t>
            </w:r>
            <w:r w:rsidRPr="00542709">
              <w:rPr>
                <w:sz w:val="16"/>
                <w:szCs w:val="16"/>
              </w:rPr>
              <w:lastRenderedPageBreak/>
              <w:t xml:space="preserve">2018 года предусмотрены 4 новые формы субсидирования с </w:t>
            </w:r>
            <w:proofErr w:type="spellStart"/>
            <w:r w:rsidRPr="00542709">
              <w:rPr>
                <w:sz w:val="16"/>
                <w:szCs w:val="16"/>
              </w:rPr>
              <w:t>софинансированием</w:t>
            </w:r>
            <w:proofErr w:type="spellEnd"/>
            <w:r w:rsidRPr="00542709">
              <w:rPr>
                <w:sz w:val="16"/>
                <w:szCs w:val="16"/>
              </w:rPr>
              <w:t xml:space="preserve"> за счет средств Российской Федерации и Ставропольского края:</w:t>
            </w:r>
          </w:p>
          <w:p w:rsidR="00445C10" w:rsidRPr="00542709" w:rsidRDefault="00445C10" w:rsidP="00F163A1">
            <w:pPr>
              <w:suppressAutoHyphens/>
              <w:autoSpaceDE w:val="0"/>
              <w:autoSpaceDN w:val="0"/>
              <w:adjustRightInd w:val="0"/>
              <w:ind w:firstLine="484"/>
              <w:jc w:val="both"/>
              <w:rPr>
                <w:sz w:val="16"/>
                <w:szCs w:val="16"/>
              </w:rPr>
            </w:pPr>
            <w:proofErr w:type="gramStart"/>
            <w:r w:rsidRPr="00542709">
              <w:rPr>
                <w:sz w:val="16"/>
                <w:szCs w:val="16"/>
              </w:rPr>
              <w:t>субсидирование части затрат субъектам малого предпринимательства в городе (гранты) - субсидии индивидуальным предпринимателям и юридическим лицам - производителям товаров, работ, услуг,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средств, в том числе при заключении договора коммерческой концессии;</w:t>
            </w:r>
            <w:proofErr w:type="gramEnd"/>
          </w:p>
          <w:p w:rsidR="00445C10" w:rsidRPr="00542709" w:rsidRDefault="00445C10" w:rsidP="00F163A1">
            <w:pPr>
              <w:suppressAutoHyphens/>
              <w:autoSpaceDE w:val="0"/>
              <w:autoSpaceDN w:val="0"/>
              <w:adjustRightInd w:val="0"/>
              <w:ind w:firstLine="484"/>
              <w:jc w:val="both"/>
              <w:rPr>
                <w:sz w:val="16"/>
                <w:szCs w:val="16"/>
              </w:rPr>
            </w:pPr>
            <w:proofErr w:type="gramStart"/>
            <w:r w:rsidRPr="00542709">
              <w:rPr>
                <w:sz w:val="16"/>
                <w:szCs w:val="16"/>
              </w:rPr>
              <w:t>субсидирование части затрат субъектов малого и среднего предпринимательства в городе,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ситуации;</w:t>
            </w:r>
            <w:proofErr w:type="gramEnd"/>
          </w:p>
          <w:p w:rsidR="00445C10" w:rsidRPr="00542709" w:rsidRDefault="00445C10" w:rsidP="00DD2A8A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  <w:r w:rsidRPr="00542709">
              <w:rPr>
                <w:sz w:val="16"/>
                <w:szCs w:val="16"/>
              </w:rPr>
              <w:t>субсидирование части затрат субъектов малого и среднего предпринимательства в городе, связанных с созданием и (или) развитием дошкольных образовательных центров, осуществляющих образовательную деятельность по программам дошкольного образования, а также присмотру и уходу за детьми, в соответствии с законодательством Российской Федерации;</w:t>
            </w:r>
          </w:p>
          <w:p w:rsidR="00445C10" w:rsidRPr="00542709" w:rsidRDefault="00445C10" w:rsidP="00814642">
            <w:pPr>
              <w:suppressAutoHyphens/>
              <w:autoSpaceDE w:val="0"/>
              <w:autoSpaceDN w:val="0"/>
              <w:adjustRightInd w:val="0"/>
              <w:ind w:firstLine="343"/>
              <w:jc w:val="both"/>
              <w:rPr>
                <w:sz w:val="16"/>
                <w:szCs w:val="16"/>
              </w:rPr>
            </w:pPr>
            <w:r w:rsidRPr="00542709">
              <w:rPr>
                <w:sz w:val="16"/>
                <w:szCs w:val="16"/>
              </w:rPr>
              <w:t>субсидирование части затрат субъектов малого и среднего предпринимательства в городе,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деятельности.</w:t>
            </w:r>
          </w:p>
          <w:p w:rsidR="00445C10" w:rsidRPr="00542709" w:rsidRDefault="00445C10" w:rsidP="00DD2A8A">
            <w:pPr>
              <w:suppressAutoHyphens/>
              <w:ind w:firstLine="340"/>
              <w:jc w:val="both"/>
              <w:rPr>
                <w:sz w:val="16"/>
                <w:szCs w:val="16"/>
              </w:rPr>
            </w:pPr>
            <w:r w:rsidRPr="00542709">
              <w:rPr>
                <w:sz w:val="16"/>
                <w:szCs w:val="16"/>
              </w:rPr>
              <w:t xml:space="preserve">05.09.2018 заключено Соглашение о предоставления субсидии на поддержку субъектов малого и среднего предпринимательства, осуществляющих деятельность в </w:t>
            </w:r>
            <w:proofErr w:type="spellStart"/>
            <w:r w:rsidRPr="00542709">
              <w:rPr>
                <w:sz w:val="16"/>
                <w:szCs w:val="16"/>
              </w:rPr>
              <w:t>монопрофильных</w:t>
            </w:r>
            <w:proofErr w:type="spellEnd"/>
            <w:r w:rsidRPr="00542709">
              <w:rPr>
                <w:sz w:val="16"/>
                <w:szCs w:val="16"/>
              </w:rPr>
              <w:t xml:space="preserve"> муниципальных образованиях Ставропольского края № 07724000-1-2018-001. </w:t>
            </w:r>
          </w:p>
          <w:p w:rsidR="00072AB2" w:rsidRDefault="00445C10" w:rsidP="00072AB2">
            <w:pPr>
              <w:suppressAutoHyphens/>
              <w:ind w:firstLine="720"/>
              <w:jc w:val="both"/>
              <w:rPr>
                <w:sz w:val="16"/>
                <w:szCs w:val="16"/>
              </w:rPr>
            </w:pPr>
            <w:r w:rsidRPr="00542709">
              <w:rPr>
                <w:sz w:val="16"/>
                <w:szCs w:val="16"/>
              </w:rPr>
              <w:t>В ноябре – декабре текущего года проведены конкурсные отборы субъектов малого и среднего предпринимательства в городе Невинномысске. 5 субъектов малого предпринимательства, в том числе 3 индивидуальных предпринимателя получили поддержку на реализацию своих инвестиционных проектов.</w:t>
            </w:r>
            <w:r>
              <w:rPr>
                <w:sz w:val="16"/>
                <w:szCs w:val="16"/>
              </w:rPr>
              <w:t xml:space="preserve"> </w:t>
            </w:r>
            <w:r w:rsidR="00072AB2" w:rsidRPr="00072AB2">
              <w:rPr>
                <w:sz w:val="16"/>
                <w:szCs w:val="16"/>
              </w:rPr>
              <w:t xml:space="preserve">Всего на реализацию мероприятий </w:t>
            </w:r>
            <w:r w:rsidR="00072AB2" w:rsidRPr="008D198C">
              <w:rPr>
                <w:sz w:val="16"/>
                <w:szCs w:val="16"/>
              </w:rPr>
              <w:t>муниципальной программы «</w:t>
            </w:r>
            <w:r w:rsidR="00072AB2" w:rsidRPr="008D198C">
              <w:rPr>
                <w:bCs/>
                <w:sz w:val="16"/>
                <w:szCs w:val="16"/>
              </w:rPr>
              <w:t>Поддержка субъектов малого и среднего предпринимательства в городе Невинномысске</w:t>
            </w:r>
            <w:r w:rsidR="00072AB2" w:rsidRPr="008D198C">
              <w:rPr>
                <w:sz w:val="16"/>
                <w:szCs w:val="16"/>
              </w:rPr>
              <w:t>»</w:t>
            </w:r>
            <w:r w:rsidR="00072AB2">
              <w:rPr>
                <w:sz w:val="16"/>
                <w:szCs w:val="16"/>
              </w:rPr>
              <w:t xml:space="preserve"> </w:t>
            </w:r>
            <w:r w:rsidR="006E71B7">
              <w:rPr>
                <w:sz w:val="16"/>
                <w:szCs w:val="16"/>
              </w:rPr>
              <w:t>израсходовано</w:t>
            </w:r>
            <w:r w:rsidR="00072AB2" w:rsidRPr="00072AB2">
              <w:rPr>
                <w:sz w:val="16"/>
                <w:szCs w:val="16"/>
              </w:rPr>
              <w:t xml:space="preserve"> </w:t>
            </w:r>
            <w:r w:rsidR="006E71B7">
              <w:rPr>
                <w:sz w:val="16"/>
                <w:szCs w:val="16"/>
              </w:rPr>
              <w:t>8775,79 тыс. рублей.</w:t>
            </w:r>
          </w:p>
          <w:p w:rsidR="00CC10AC" w:rsidRDefault="00CC10AC" w:rsidP="00072AB2">
            <w:pPr>
              <w:suppressAutoHyphens/>
              <w:ind w:firstLine="720"/>
              <w:jc w:val="both"/>
              <w:rPr>
                <w:sz w:val="16"/>
                <w:szCs w:val="16"/>
              </w:rPr>
            </w:pPr>
            <w:r w:rsidRPr="00CC10AC">
              <w:rPr>
                <w:sz w:val="16"/>
                <w:szCs w:val="16"/>
              </w:rPr>
              <w:t xml:space="preserve">24 субъекта предпринимательской деятельности города получили </w:t>
            </w:r>
            <w:proofErr w:type="spellStart"/>
            <w:r w:rsidRPr="00CC10AC">
              <w:rPr>
                <w:sz w:val="16"/>
                <w:szCs w:val="16"/>
              </w:rPr>
              <w:t>микрозаймы</w:t>
            </w:r>
            <w:proofErr w:type="spellEnd"/>
            <w:r w:rsidRPr="00CC10AC">
              <w:rPr>
                <w:sz w:val="16"/>
                <w:szCs w:val="16"/>
              </w:rPr>
              <w:t xml:space="preserve"> в некоммерческой организации </w:t>
            </w:r>
            <w:proofErr w:type="spellStart"/>
            <w:r w:rsidRPr="00CC10AC">
              <w:rPr>
                <w:sz w:val="16"/>
                <w:szCs w:val="16"/>
              </w:rPr>
              <w:t>микрокредитной</w:t>
            </w:r>
            <w:proofErr w:type="spellEnd"/>
            <w:r w:rsidRPr="00CC10AC">
              <w:rPr>
                <w:sz w:val="16"/>
                <w:szCs w:val="16"/>
              </w:rPr>
              <w:t xml:space="preserve"> компании «Фонд микрофинансирования субъектов малого и среднего предпринимательства в Ставропольском крае» на сумму 34,910 млн. рублей.</w:t>
            </w:r>
          </w:p>
          <w:p w:rsidR="00A44E15" w:rsidRDefault="006F0202" w:rsidP="00CC10AC">
            <w:pPr>
              <w:ind w:firstLine="720"/>
              <w:jc w:val="both"/>
              <w:rPr>
                <w:sz w:val="16"/>
                <w:szCs w:val="16"/>
              </w:rPr>
            </w:pPr>
            <w:r w:rsidRPr="00CE2E78">
              <w:rPr>
                <w:sz w:val="16"/>
                <w:szCs w:val="16"/>
              </w:rPr>
              <w:t>В целях сохранения благоприятных условий для развития предпринимательства в городе, а также для исключения дополнительной налоговой нагрузки значения корректирующего коэффициента базовой доходности К</w:t>
            </w:r>
            <w:proofErr w:type="gramStart"/>
            <w:r w:rsidRPr="00CE2E78">
              <w:rPr>
                <w:sz w:val="16"/>
                <w:szCs w:val="16"/>
              </w:rPr>
              <w:t>2</w:t>
            </w:r>
            <w:proofErr w:type="gramEnd"/>
            <w:r w:rsidRPr="00CE2E78">
              <w:rPr>
                <w:sz w:val="16"/>
                <w:szCs w:val="16"/>
              </w:rPr>
              <w:t>, учитывающего совокупность особенностей ведения предпринимательской деятельности, облагаемой единым налогом на вмененный доход на 2019 год, сохранены на уровне 2016 года.</w:t>
            </w:r>
          </w:p>
          <w:p w:rsidR="00B84391" w:rsidRPr="00B84391" w:rsidRDefault="006E71B7" w:rsidP="00491915">
            <w:pPr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B84391">
              <w:rPr>
                <w:sz w:val="16"/>
                <w:szCs w:val="16"/>
              </w:rPr>
              <w:t xml:space="preserve">В 2018 году введено в эксплуатацию 5 </w:t>
            </w:r>
            <w:r>
              <w:rPr>
                <w:sz w:val="16"/>
                <w:szCs w:val="16"/>
              </w:rPr>
              <w:t xml:space="preserve">новых </w:t>
            </w:r>
            <w:r w:rsidRPr="00B84391">
              <w:rPr>
                <w:sz w:val="16"/>
                <w:szCs w:val="16"/>
              </w:rPr>
              <w:t xml:space="preserve">объектов </w:t>
            </w:r>
            <w:r>
              <w:rPr>
                <w:sz w:val="16"/>
                <w:szCs w:val="16"/>
              </w:rPr>
              <w:t xml:space="preserve">торговли </w:t>
            </w:r>
            <w:r w:rsidRPr="00B84391">
              <w:rPr>
                <w:sz w:val="16"/>
                <w:szCs w:val="16"/>
              </w:rPr>
              <w:t xml:space="preserve">общей площадью 5351 кв. метр. </w:t>
            </w:r>
            <w:r w:rsidR="00B84391" w:rsidRPr="00B84391">
              <w:rPr>
                <w:sz w:val="16"/>
                <w:szCs w:val="16"/>
              </w:rPr>
              <w:t xml:space="preserve">Потребительская сфера города объединяет 546 юридических лиц и 1997 индивидуальных предпринимателей из числа хозяйствующих субъектов, </w:t>
            </w:r>
            <w:r w:rsidR="00B84391" w:rsidRPr="00B84391">
              <w:rPr>
                <w:sz w:val="16"/>
                <w:szCs w:val="16"/>
              </w:rPr>
              <w:lastRenderedPageBreak/>
              <w:t xml:space="preserve">осуществляющих деятельность в сфере торговли по реализации промышленной и продовольственной группы товаров. Функционирует  876 предприятий торговли. В этой сфере </w:t>
            </w:r>
            <w:r w:rsidR="00F645AE">
              <w:rPr>
                <w:sz w:val="16"/>
                <w:szCs w:val="16"/>
              </w:rPr>
              <w:t xml:space="preserve">трудятся более 9 тыс. человек. </w:t>
            </w:r>
            <w:r w:rsidR="00491915">
              <w:rPr>
                <w:sz w:val="16"/>
                <w:szCs w:val="16"/>
              </w:rPr>
              <w:t>И</w:t>
            </w:r>
            <w:r w:rsidR="00B84391" w:rsidRPr="00B84391">
              <w:rPr>
                <w:sz w:val="16"/>
                <w:szCs w:val="16"/>
              </w:rPr>
              <w:t xml:space="preserve">ндустрия общественного питания на территории города представляет собой огромное количество предприятий с различным уровнем обслуживания, качеством продукции, разнообразием используемого оборудования. На территории города осуществляют свою деятельность 86 предприятий по оказанию услуг общественного питания, в том числе 76 объектов открытой сети </w:t>
            </w:r>
            <w:r w:rsidR="00495AE9">
              <w:rPr>
                <w:sz w:val="16"/>
                <w:szCs w:val="16"/>
              </w:rPr>
              <w:t xml:space="preserve">                 </w:t>
            </w:r>
            <w:r w:rsidR="00B84391" w:rsidRPr="00B84391">
              <w:rPr>
                <w:sz w:val="16"/>
                <w:szCs w:val="16"/>
              </w:rPr>
              <w:t>(4 ресторана, 52 кафе и баров, 20 столовых и закусочных) на 4497 посадочных мест и 55 объектов закрытой сети (это предприятия системы образования, здравоохранения и промышленности) на 4824 посадочных места.</w:t>
            </w:r>
          </w:p>
          <w:p w:rsidR="00B84391" w:rsidRPr="00B84391" w:rsidRDefault="00B84391" w:rsidP="00B84391">
            <w:pPr>
              <w:pStyle w:val="ac"/>
              <w:spacing w:before="0" w:beforeAutospacing="0" w:after="0" w:afterAutospacing="0"/>
              <w:ind w:firstLine="709"/>
              <w:jc w:val="both"/>
              <w:rPr>
                <w:sz w:val="16"/>
                <w:szCs w:val="16"/>
              </w:rPr>
            </w:pPr>
            <w:r w:rsidRPr="00B84391">
              <w:rPr>
                <w:sz w:val="16"/>
                <w:szCs w:val="16"/>
              </w:rPr>
              <w:t xml:space="preserve">На территории города 528 предприятий бытового обслуживания оказывают 24 основных вида бытовых услуг. Обеспеченность бытовыми услугами составляет </w:t>
            </w:r>
            <w:r w:rsidR="00495AE9">
              <w:rPr>
                <w:sz w:val="16"/>
                <w:szCs w:val="16"/>
              </w:rPr>
              <w:t xml:space="preserve">              </w:t>
            </w:r>
            <w:r w:rsidRPr="00B84391">
              <w:rPr>
                <w:sz w:val="16"/>
                <w:szCs w:val="16"/>
              </w:rPr>
              <w:t xml:space="preserve">14 рабочих мест на 1000 жителей города (краевой показатель 10 рабочих мест на </w:t>
            </w:r>
            <w:r w:rsidR="00495AE9">
              <w:rPr>
                <w:sz w:val="16"/>
                <w:szCs w:val="16"/>
              </w:rPr>
              <w:t xml:space="preserve">                </w:t>
            </w:r>
            <w:r w:rsidRPr="00B84391">
              <w:rPr>
                <w:sz w:val="16"/>
                <w:szCs w:val="16"/>
              </w:rPr>
              <w:t>1000 жителей).</w:t>
            </w:r>
          </w:p>
          <w:p w:rsidR="00B84391" w:rsidRPr="00B84391" w:rsidRDefault="00B84391" w:rsidP="00B84391">
            <w:pPr>
              <w:pStyle w:val="ac"/>
              <w:spacing w:before="0" w:beforeAutospacing="0" w:after="0" w:afterAutospacing="0"/>
              <w:ind w:firstLine="709"/>
              <w:jc w:val="both"/>
              <w:rPr>
                <w:sz w:val="16"/>
                <w:szCs w:val="16"/>
              </w:rPr>
            </w:pPr>
            <w:r w:rsidRPr="00B84391">
              <w:rPr>
                <w:sz w:val="16"/>
                <w:szCs w:val="16"/>
              </w:rPr>
              <w:t>Широкое развитие на потребительском рынке города получила форма мелкорозничной торговли, которая практически затрагивает все сферы потребительского рынка, в том числе и услуги. Реализация муниципальных нестационарных торговых мест на территории города осуществляется на конкурсной основе путем проведения открытого аукциона. За отчетный период проведено 7 аукционов. Реализовано право аренды 15 нестационарных торговых места для реализации продовольственной, промышленной и плодоовощной группы товаров сроком размещения 10 лет и 49 нестационарных торговых места для реализации продовольственной, промышленной и плодоовощной группы товаров сроком размещения до  10 лет. По данному доходному источнику в бюджет города в 2018 году поступило 459884,5 рубля.</w:t>
            </w:r>
          </w:p>
          <w:p w:rsidR="00A44E15" w:rsidRPr="00542709" w:rsidRDefault="00B84391" w:rsidP="00206794">
            <w:pPr>
              <w:ind w:firstLine="709"/>
              <w:jc w:val="both"/>
              <w:rPr>
                <w:sz w:val="16"/>
                <w:szCs w:val="16"/>
              </w:rPr>
            </w:pPr>
            <w:r w:rsidRPr="00B84391">
              <w:rPr>
                <w:sz w:val="16"/>
                <w:szCs w:val="16"/>
              </w:rPr>
              <w:t>С целью ликвидации несанкционированных мест торговли в 2018 году проведено 144 рейда по ликвидации мест стихийной торговли. Составлено</w:t>
            </w:r>
            <w:r w:rsidR="00495AE9">
              <w:rPr>
                <w:sz w:val="16"/>
                <w:szCs w:val="16"/>
              </w:rPr>
              <w:t xml:space="preserve">                           </w:t>
            </w:r>
            <w:r w:rsidRPr="00B84391">
              <w:rPr>
                <w:sz w:val="16"/>
                <w:szCs w:val="16"/>
              </w:rPr>
              <w:t xml:space="preserve"> 194 протокола об административной ответственности. Сумма начисленных штрафов составила 781,00 тыс. рублей.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0" w:rsidRPr="008D198C" w:rsidRDefault="00445C10" w:rsidP="009325CC">
            <w:pPr>
              <w:shd w:val="clear" w:color="auto" w:fill="FFFFFF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lastRenderedPageBreak/>
              <w:t>Количество субъектов малого и среднего предпринимательства в расчете на 10000 человек населения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10" w:rsidRPr="008D198C" w:rsidRDefault="00445C10" w:rsidP="00445C1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единиц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10" w:rsidRPr="008D198C" w:rsidRDefault="00445C10" w:rsidP="00445C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98C">
              <w:rPr>
                <w:rFonts w:ascii="Times New Roman" w:hAnsi="Times New Roman" w:cs="Times New Roman"/>
                <w:sz w:val="16"/>
                <w:szCs w:val="16"/>
              </w:rPr>
              <w:t>396,40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10" w:rsidRPr="008D198C" w:rsidRDefault="00994FC7" w:rsidP="00445C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383,70</w:t>
            </w:r>
            <w:r w:rsidR="00121C17">
              <w:rPr>
                <w:rFonts w:ascii="Times New Roman" w:hAnsi="Times New Roman" w:cs="Times New Roman"/>
                <w:sz w:val="16"/>
                <w:szCs w:val="16"/>
              </w:rPr>
              <w:t xml:space="preserve"> (снижение числа субъектов на 66)</w:t>
            </w:r>
          </w:p>
        </w:tc>
      </w:tr>
      <w:tr w:rsidR="00BB75E1" w:rsidRPr="008D198C" w:rsidTr="00AA5D3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E1" w:rsidRPr="008D198C" w:rsidRDefault="00BB75E1" w:rsidP="00490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E1" w:rsidRPr="008D198C" w:rsidRDefault="00BB75E1" w:rsidP="009325CC">
            <w:pPr>
              <w:rPr>
                <w:sz w:val="16"/>
                <w:szCs w:val="16"/>
              </w:rPr>
            </w:pPr>
          </w:p>
        </w:tc>
        <w:tc>
          <w:tcPr>
            <w:tcW w:w="6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5E1" w:rsidRPr="008D198C" w:rsidRDefault="00BB75E1" w:rsidP="009325CC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E1" w:rsidRPr="008D198C" w:rsidRDefault="00BB75E1" w:rsidP="009325CC">
            <w:pPr>
              <w:shd w:val="clear" w:color="auto" w:fill="FFFFFF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 xml:space="preserve">Темп роста розничного </w:t>
            </w:r>
            <w:r w:rsidRPr="008D198C">
              <w:rPr>
                <w:sz w:val="16"/>
                <w:szCs w:val="16"/>
              </w:rPr>
              <w:lastRenderedPageBreak/>
              <w:t>товарооборота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E1" w:rsidRPr="008D198C" w:rsidRDefault="00BB75E1" w:rsidP="009325CC">
            <w:pPr>
              <w:jc w:val="center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lastRenderedPageBreak/>
              <w:t xml:space="preserve">в % </w:t>
            </w:r>
          </w:p>
          <w:p w:rsidR="00BB75E1" w:rsidRPr="008D198C" w:rsidRDefault="00BB75E1" w:rsidP="009325CC">
            <w:pPr>
              <w:jc w:val="center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lastRenderedPageBreak/>
              <w:t>к предыдущему году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E1" w:rsidRPr="008D198C" w:rsidRDefault="00BB75E1" w:rsidP="00A03EFC">
            <w:pPr>
              <w:jc w:val="center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lastRenderedPageBreak/>
              <w:t>103,70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E1" w:rsidRPr="008D198C" w:rsidRDefault="00C20AC2" w:rsidP="00A03E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108,00</w:t>
            </w:r>
          </w:p>
        </w:tc>
      </w:tr>
      <w:tr w:rsidR="008058A8" w:rsidRPr="008D198C" w:rsidTr="00AA5D3C">
        <w:trPr>
          <w:trHeight w:val="736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8058A8" w:rsidRPr="008D198C" w:rsidRDefault="008058A8" w:rsidP="00490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9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</w:tcBorders>
          </w:tcPr>
          <w:p w:rsidR="008058A8" w:rsidRPr="008D198C" w:rsidRDefault="008058A8" w:rsidP="009325CC">
            <w:pPr>
              <w:pStyle w:val="a5"/>
              <w:rPr>
                <w:rFonts w:ascii="Times New Roman" w:hAnsi="Times New Roman" w:cs="Times New Roman"/>
              </w:rPr>
            </w:pPr>
            <w:r w:rsidRPr="008D198C">
              <w:rPr>
                <w:rFonts w:ascii="Times New Roman" w:hAnsi="Times New Roman" w:cs="Times New Roman"/>
              </w:rPr>
              <w:t xml:space="preserve">Реализация мероприятий программы «Комплексное развитие моногорода Невинномысска», </w:t>
            </w:r>
          </w:p>
          <w:p w:rsidR="008058A8" w:rsidRPr="008D198C" w:rsidRDefault="008058A8" w:rsidP="009325CC">
            <w:pPr>
              <w:pStyle w:val="a5"/>
              <w:rPr>
                <w:rFonts w:ascii="Times New Roman" w:hAnsi="Times New Roman" w:cs="Times New Roman"/>
              </w:rPr>
            </w:pPr>
            <w:r w:rsidRPr="008D198C">
              <w:rPr>
                <w:rFonts w:ascii="Times New Roman" w:hAnsi="Times New Roman" w:cs="Times New Roman"/>
              </w:rPr>
              <w:t>создание территории опережающего социально – экономического развития</w:t>
            </w:r>
          </w:p>
        </w:tc>
        <w:tc>
          <w:tcPr>
            <w:tcW w:w="614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7640" w:rsidRPr="00491915" w:rsidRDefault="00EB47D1" w:rsidP="00491915">
            <w:pPr>
              <w:pStyle w:val="ConsNormal"/>
              <w:widowControl/>
              <w:suppressAutoHyphens/>
              <w:ind w:right="0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1915">
              <w:rPr>
                <w:rFonts w:ascii="Times New Roman" w:hAnsi="Times New Roman" w:cs="Times New Roman"/>
                <w:sz w:val="16"/>
                <w:szCs w:val="16"/>
              </w:rPr>
              <w:t>По итогам 2018 года наблюдалась как положительная, так и отрицательная динамика основных показателей социально-экономического развития города.</w:t>
            </w:r>
            <w:r w:rsidR="004919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95AE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491915">
              <w:rPr>
                <w:rFonts w:ascii="Times New Roman" w:hAnsi="Times New Roman" w:cs="Times New Roman"/>
                <w:sz w:val="16"/>
                <w:szCs w:val="16"/>
              </w:rPr>
              <w:t xml:space="preserve">За 2018 год на 84 единицы снизилось число хозяйствующих субъектов. На 01 января 2019 года на территории города осуществляли свою деятельность 5109 хозяйствующих субъектов, в том числе: 3296 субъектов без образования юридического лица и </w:t>
            </w:r>
            <w:r w:rsidR="00495AE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491915">
              <w:rPr>
                <w:rFonts w:ascii="Times New Roman" w:hAnsi="Times New Roman" w:cs="Times New Roman"/>
                <w:sz w:val="16"/>
                <w:szCs w:val="16"/>
              </w:rPr>
              <w:t xml:space="preserve">1813 юридических лиц. Число субъектов малого и среднего предпринимательства снизилось на 66 субъектов (4504). </w:t>
            </w:r>
            <w:r w:rsidR="000F7640" w:rsidRPr="00491915">
              <w:rPr>
                <w:rFonts w:ascii="Times New Roman" w:hAnsi="Times New Roman" w:cs="Times New Roman"/>
                <w:sz w:val="16"/>
                <w:szCs w:val="16"/>
              </w:rPr>
              <w:t xml:space="preserve">Среднесписочная численность работников крупных и средних организаций города за 2018 год сократилась на 0,9 % по сравнению </w:t>
            </w:r>
            <w:r w:rsidR="00495AE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0F7640" w:rsidRPr="00491915">
              <w:rPr>
                <w:rFonts w:ascii="Times New Roman" w:hAnsi="Times New Roman" w:cs="Times New Roman"/>
                <w:sz w:val="16"/>
                <w:szCs w:val="16"/>
              </w:rPr>
              <w:t>с 2017 год (23557 человек).</w:t>
            </w:r>
          </w:p>
          <w:p w:rsidR="00EB47D1" w:rsidRPr="00EB47D1" w:rsidRDefault="00EB47D1" w:rsidP="00EB47D1">
            <w:pPr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EB47D1">
              <w:rPr>
                <w:sz w:val="16"/>
                <w:szCs w:val="16"/>
              </w:rPr>
              <w:t xml:space="preserve">За 2018 </w:t>
            </w:r>
            <w:proofErr w:type="gramStart"/>
            <w:r w:rsidRPr="00EB47D1">
              <w:rPr>
                <w:sz w:val="16"/>
                <w:szCs w:val="16"/>
              </w:rPr>
              <w:t>год</w:t>
            </w:r>
            <w:proofErr w:type="gramEnd"/>
            <w:r w:rsidRPr="00EB47D1">
              <w:rPr>
                <w:sz w:val="16"/>
                <w:szCs w:val="16"/>
              </w:rPr>
              <w:t xml:space="preserve"> достигнут прирост производства в реальном секторе экономики на 13,7 % (это третье место среди городов края), доля города составила более четверти </w:t>
            </w:r>
            <w:proofErr w:type="spellStart"/>
            <w:r w:rsidRPr="00EB47D1">
              <w:rPr>
                <w:sz w:val="16"/>
                <w:szCs w:val="16"/>
              </w:rPr>
              <w:t>общекраевого</w:t>
            </w:r>
            <w:proofErr w:type="spellEnd"/>
            <w:r w:rsidRPr="00EB47D1">
              <w:rPr>
                <w:sz w:val="16"/>
                <w:szCs w:val="16"/>
              </w:rPr>
              <w:t xml:space="preserve"> объема промышленной продукции (26,78 %). За 2018 год предприятиями города отгружено промышленной продукции на 104,44 млрд. рублей. Рост наблюдался в металлургическом производстве (на 8,2 %), в химической промышленности </w:t>
            </w:r>
            <w:r w:rsidR="00495AE9">
              <w:rPr>
                <w:sz w:val="16"/>
                <w:szCs w:val="16"/>
              </w:rPr>
              <w:t xml:space="preserve">                            </w:t>
            </w:r>
            <w:r w:rsidRPr="00EB47D1">
              <w:rPr>
                <w:sz w:val="16"/>
                <w:szCs w:val="16"/>
              </w:rPr>
              <w:t>(на 14,83 %), в пищевой промышленности (на 16,3 %), в электроэнергетике (6,2 %). Всего по всем отраслям экономики отгружено товаров, работ, услуг на</w:t>
            </w:r>
            <w:r w:rsidR="00495AE9">
              <w:rPr>
                <w:sz w:val="16"/>
                <w:szCs w:val="16"/>
              </w:rPr>
              <w:t xml:space="preserve">                             </w:t>
            </w:r>
            <w:r w:rsidRPr="00EB47D1">
              <w:rPr>
                <w:sz w:val="16"/>
                <w:szCs w:val="16"/>
              </w:rPr>
              <w:t xml:space="preserve"> 110,33 млрд. рублей, с динамикой прироста на 12,4 % к уровню 2017 года.</w:t>
            </w:r>
          </w:p>
          <w:p w:rsidR="00EB47D1" w:rsidRPr="00EB47D1" w:rsidRDefault="00EB47D1" w:rsidP="00EB47D1">
            <w:pPr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EB47D1">
              <w:rPr>
                <w:sz w:val="16"/>
                <w:szCs w:val="16"/>
              </w:rPr>
              <w:t xml:space="preserve">Рост наблюдался по следующим отраслям:  </w:t>
            </w:r>
          </w:p>
          <w:p w:rsidR="00EB47D1" w:rsidRPr="00EB47D1" w:rsidRDefault="00EB47D1" w:rsidP="00EB47D1">
            <w:pPr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EB47D1">
              <w:rPr>
                <w:sz w:val="16"/>
                <w:szCs w:val="16"/>
              </w:rPr>
              <w:t>по отрасли «сельское хозяйство» – почти в 2 раза;</w:t>
            </w:r>
          </w:p>
          <w:p w:rsidR="00EB47D1" w:rsidRPr="00EB47D1" w:rsidRDefault="00EB47D1" w:rsidP="00EB47D1">
            <w:pPr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EB47D1">
              <w:rPr>
                <w:sz w:val="16"/>
                <w:szCs w:val="16"/>
              </w:rPr>
              <w:t>в сфере промышленности – на 13,7 %;</w:t>
            </w:r>
          </w:p>
          <w:p w:rsidR="00EB47D1" w:rsidRDefault="00EB47D1" w:rsidP="00EB47D1">
            <w:pPr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EB47D1">
              <w:rPr>
                <w:sz w:val="16"/>
                <w:szCs w:val="16"/>
              </w:rPr>
              <w:lastRenderedPageBreak/>
              <w:t>в электроэнергетике – на 6,2 %.</w:t>
            </w:r>
          </w:p>
          <w:p w:rsidR="00547ECD" w:rsidRPr="00EB47D1" w:rsidRDefault="00547ECD" w:rsidP="00EB47D1">
            <w:pPr>
              <w:suppressAutoHyphens/>
              <w:ind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Снижение объемов наблюдалось в строительстве – </w:t>
            </w:r>
            <w:r w:rsidRPr="00547EC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547ECD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млрд. рублей (темп роста</w:t>
            </w:r>
            <w:r w:rsidR="0049191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 71 %).</w:t>
            </w:r>
          </w:p>
          <w:p w:rsidR="00121C17" w:rsidRPr="00831A83" w:rsidRDefault="00121C17" w:rsidP="00121C17">
            <w:pPr>
              <w:shd w:val="clear" w:color="auto" w:fill="FFFFFF"/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831A83">
              <w:rPr>
                <w:sz w:val="16"/>
                <w:szCs w:val="16"/>
              </w:rPr>
              <w:t>Градообразующее предприятие АО «</w:t>
            </w:r>
            <w:proofErr w:type="spellStart"/>
            <w:r w:rsidRPr="00831A83">
              <w:rPr>
                <w:sz w:val="16"/>
                <w:szCs w:val="16"/>
              </w:rPr>
              <w:t>Невинномысскйй</w:t>
            </w:r>
            <w:proofErr w:type="spellEnd"/>
            <w:r w:rsidRPr="00831A83">
              <w:rPr>
                <w:sz w:val="16"/>
                <w:szCs w:val="16"/>
              </w:rPr>
              <w:t xml:space="preserve"> Азот» работает в штатном режиме. Данное предприятие составляет большую часть общегородского объема отгрузки крупными и средними предприятиями города по итогам работы за 2018 год – 42,9 %. На нем трудится 6,23 % занятого населения города (3276 человек). </w:t>
            </w:r>
          </w:p>
          <w:p w:rsidR="00202155" w:rsidRPr="00202155" w:rsidRDefault="00202155" w:rsidP="00202155">
            <w:pPr>
              <w:shd w:val="clear" w:color="auto" w:fill="FFFFFF"/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202155">
              <w:rPr>
                <w:sz w:val="16"/>
                <w:szCs w:val="16"/>
              </w:rPr>
              <w:t xml:space="preserve">Для преодоления </w:t>
            </w:r>
            <w:proofErr w:type="spellStart"/>
            <w:r w:rsidRPr="00202155">
              <w:rPr>
                <w:sz w:val="16"/>
                <w:szCs w:val="16"/>
              </w:rPr>
              <w:t>монопрофильности</w:t>
            </w:r>
            <w:proofErr w:type="spellEnd"/>
            <w:r w:rsidRPr="00202155">
              <w:rPr>
                <w:sz w:val="16"/>
                <w:szCs w:val="16"/>
              </w:rPr>
              <w:t xml:space="preserve"> в городе реализуются два крупнейших и значимых проекта: региональный индустриальный парк «Невинномысск» (далее-парк) и создание территории опережающего социально-экономического развития. Общая площадь парка составляет 804,4 га (I очередь – 206,4 га, II очередь – 296,</w:t>
            </w:r>
            <w:r>
              <w:rPr>
                <w:sz w:val="16"/>
                <w:szCs w:val="16"/>
              </w:rPr>
              <w:t xml:space="preserve">3 га, III очередь – 301,7 га). </w:t>
            </w:r>
            <w:r w:rsidRPr="00202155">
              <w:rPr>
                <w:sz w:val="16"/>
                <w:szCs w:val="16"/>
              </w:rPr>
              <w:t xml:space="preserve">В течение 2018 года на территории парка осуществляли хозяйственную деятельность 14 резидентов, объем освоенных инвестиций составил 271 млн. рублей, создано 50 рабочих мест. На сегодняшний день успешно реализуются 7 инвестиционных проектов, в ближайшей перспективе планируем полностью заполнить II очередь парка. </w:t>
            </w:r>
          </w:p>
          <w:p w:rsidR="00202155" w:rsidRPr="00202155" w:rsidRDefault="00202155" w:rsidP="00202155">
            <w:pPr>
              <w:shd w:val="clear" w:color="auto" w:fill="FFFFFF"/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202155">
              <w:rPr>
                <w:sz w:val="16"/>
                <w:szCs w:val="16"/>
              </w:rPr>
              <w:t>На 01января 2019 года на территории регионального индустриального парка «Невинномысск» осуществляли деятельность 9 резидентов. В краткосрочной перспективе ожидается реализация проектов таких инвесторов, как:</w:t>
            </w:r>
          </w:p>
          <w:p w:rsidR="00202155" w:rsidRPr="00202155" w:rsidRDefault="00202155" w:rsidP="00202155">
            <w:pPr>
              <w:shd w:val="clear" w:color="auto" w:fill="FFFFFF"/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202155">
              <w:rPr>
                <w:sz w:val="16"/>
                <w:szCs w:val="16"/>
              </w:rPr>
              <w:t xml:space="preserve">ООО «Агро компания-Юг» с реализацией масштабного инвестиционного проекта «Строительство первой, второй и третьей очередей тепличного комплекса по производству плодоовощной продукции защищенного грунта, площадью 60,7 га, расположенного в Ставропольском крае вблизи города Невинномысск». Проект позволит привлечь инвестиций в размере 12,7 </w:t>
            </w:r>
            <w:proofErr w:type="gramStart"/>
            <w:r w:rsidRPr="00202155">
              <w:rPr>
                <w:sz w:val="16"/>
                <w:szCs w:val="16"/>
              </w:rPr>
              <w:t>млрд</w:t>
            </w:r>
            <w:proofErr w:type="gramEnd"/>
            <w:r w:rsidRPr="00202155">
              <w:rPr>
                <w:sz w:val="16"/>
                <w:szCs w:val="16"/>
              </w:rPr>
              <w:t xml:space="preserve"> рублей и создать 917 рабочих мест. </w:t>
            </w:r>
          </w:p>
          <w:p w:rsidR="00202155" w:rsidRPr="00202155" w:rsidRDefault="00202155" w:rsidP="00202155">
            <w:pPr>
              <w:shd w:val="clear" w:color="auto" w:fill="FFFFFF"/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202155">
              <w:rPr>
                <w:sz w:val="16"/>
                <w:szCs w:val="16"/>
              </w:rPr>
              <w:t>ООО «МОК» с инвестиционным проектом «Организация производства кондитерского оборудования и садовой мебели в г. Невинномысске». Проект позволит привлечь инвестиций в ра</w:t>
            </w:r>
            <w:r>
              <w:rPr>
                <w:sz w:val="16"/>
                <w:szCs w:val="16"/>
              </w:rPr>
              <w:t>змере 5,5 млн. рублей и создать</w:t>
            </w:r>
            <w:r w:rsidRPr="00202155">
              <w:rPr>
                <w:sz w:val="16"/>
                <w:szCs w:val="16"/>
              </w:rPr>
              <w:t xml:space="preserve"> 23 рабочих места.</w:t>
            </w:r>
          </w:p>
          <w:p w:rsidR="00202155" w:rsidRPr="00202155" w:rsidRDefault="00202155" w:rsidP="00202155">
            <w:pPr>
              <w:shd w:val="clear" w:color="auto" w:fill="FFFFFF"/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202155">
              <w:rPr>
                <w:sz w:val="16"/>
                <w:szCs w:val="16"/>
              </w:rPr>
              <w:t>ООО «НКФ» с инвестиционным проектом «Организация производства кондитерских изделий в г. Невинномысске». Проект позволит привлечь инвестиций в размере 30,6 млн. рублей и создать 67 рабочих мест.</w:t>
            </w:r>
          </w:p>
          <w:p w:rsidR="00202155" w:rsidRPr="00202155" w:rsidRDefault="00202155" w:rsidP="00202155">
            <w:pPr>
              <w:shd w:val="clear" w:color="auto" w:fill="FFFFFF"/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202155">
              <w:rPr>
                <w:sz w:val="16"/>
                <w:szCs w:val="16"/>
              </w:rPr>
              <w:t xml:space="preserve">ООО «Золото полей» с инвестиционным проектом «Производство </w:t>
            </w:r>
            <w:proofErr w:type="spellStart"/>
            <w:r w:rsidRPr="00202155">
              <w:rPr>
                <w:sz w:val="16"/>
                <w:szCs w:val="16"/>
              </w:rPr>
              <w:t>органохелатных</w:t>
            </w:r>
            <w:proofErr w:type="spellEnd"/>
            <w:r w:rsidRPr="00202155">
              <w:rPr>
                <w:sz w:val="16"/>
                <w:szCs w:val="16"/>
              </w:rPr>
              <w:t xml:space="preserve"> удобрений». Проект позволит привлечь инвестиций в размере </w:t>
            </w:r>
            <w:r w:rsidR="00495AE9">
              <w:rPr>
                <w:sz w:val="16"/>
                <w:szCs w:val="16"/>
              </w:rPr>
              <w:t xml:space="preserve">                             </w:t>
            </w:r>
            <w:r w:rsidRPr="00202155">
              <w:rPr>
                <w:sz w:val="16"/>
                <w:szCs w:val="16"/>
              </w:rPr>
              <w:t>500 млн. рублей и создать 30 рабочих мест.</w:t>
            </w:r>
          </w:p>
          <w:p w:rsidR="00202155" w:rsidRPr="00202155" w:rsidRDefault="00202155" w:rsidP="00202155">
            <w:pPr>
              <w:shd w:val="clear" w:color="auto" w:fill="FFFFFF"/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202155">
              <w:rPr>
                <w:sz w:val="16"/>
                <w:szCs w:val="16"/>
              </w:rPr>
              <w:t xml:space="preserve">03 октября 2018 года заключено соглашение с министерством экономического развития Ставропольского края о предоставлении субсидии из бюджета Ставропольского края на </w:t>
            </w:r>
            <w:proofErr w:type="spellStart"/>
            <w:r w:rsidRPr="00202155">
              <w:rPr>
                <w:sz w:val="16"/>
                <w:szCs w:val="16"/>
              </w:rPr>
              <w:t>софинансирование</w:t>
            </w:r>
            <w:proofErr w:type="spellEnd"/>
            <w:r w:rsidRPr="00202155">
              <w:rPr>
                <w:sz w:val="16"/>
                <w:szCs w:val="16"/>
              </w:rPr>
              <w:t xml:space="preserve"> проектирования, строительства (реконструкции) объектов инфраструктуры, необходимых для реализации инвестиционных проектов № 7 на сумму 67395746,32 рублей.</w:t>
            </w:r>
          </w:p>
          <w:p w:rsidR="00202155" w:rsidRPr="00202155" w:rsidRDefault="00202155" w:rsidP="00202155">
            <w:pPr>
              <w:shd w:val="clear" w:color="auto" w:fill="FFFFFF"/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202155">
              <w:rPr>
                <w:sz w:val="16"/>
                <w:szCs w:val="16"/>
              </w:rPr>
              <w:t>В январе 2018 года Губернатором Ставропольского края утверждена программа «Комплексное развитие моногородов Ставропольского края» на</w:t>
            </w:r>
            <w:r w:rsidR="00495AE9">
              <w:rPr>
                <w:sz w:val="16"/>
                <w:szCs w:val="16"/>
              </w:rPr>
              <w:t xml:space="preserve">                                  </w:t>
            </w:r>
            <w:r w:rsidRPr="00202155">
              <w:rPr>
                <w:sz w:val="16"/>
                <w:szCs w:val="16"/>
              </w:rPr>
              <w:t xml:space="preserve"> 2018-2025 годы. Реализация всех проектов и мероприятий, включенных в программу, запланирована на территории города Невинномысска. По итогам 2018 года в полном объеме реализовано 8 мероприятий из 18 запланированных.</w:t>
            </w:r>
          </w:p>
          <w:p w:rsidR="00202155" w:rsidRPr="00202155" w:rsidRDefault="00202155" w:rsidP="00202155">
            <w:pPr>
              <w:shd w:val="clear" w:color="auto" w:fill="FFFFFF"/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202155">
              <w:rPr>
                <w:sz w:val="16"/>
                <w:szCs w:val="16"/>
              </w:rPr>
              <w:t xml:space="preserve">В течение 2018 года статус резидента территории опережающего социально-экономического развития «Невинномысск» (далее - ТОСЭР) получили </w:t>
            </w:r>
            <w:r w:rsidR="00495AE9">
              <w:rPr>
                <w:sz w:val="16"/>
                <w:szCs w:val="16"/>
              </w:rPr>
              <w:t xml:space="preserve">                                             </w:t>
            </w:r>
            <w:r w:rsidRPr="00202155">
              <w:rPr>
                <w:sz w:val="16"/>
                <w:szCs w:val="16"/>
              </w:rPr>
              <w:t>5 хозяйствующих субъектов с</w:t>
            </w:r>
            <w:r>
              <w:rPr>
                <w:sz w:val="16"/>
                <w:szCs w:val="16"/>
              </w:rPr>
              <w:t xml:space="preserve"> объемом инвестиций -</w:t>
            </w:r>
            <w:r w:rsidRPr="00202155">
              <w:rPr>
                <w:sz w:val="16"/>
                <w:szCs w:val="16"/>
              </w:rPr>
              <w:t xml:space="preserve"> 2,3 млрд. рублей, количеством создаваемых рабочих мест - 376 единиц:</w:t>
            </w:r>
          </w:p>
          <w:p w:rsidR="00202155" w:rsidRPr="00202155" w:rsidRDefault="00202155" w:rsidP="00202155">
            <w:pPr>
              <w:shd w:val="clear" w:color="auto" w:fill="FFFFFF"/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202155">
              <w:rPr>
                <w:sz w:val="16"/>
                <w:szCs w:val="16"/>
              </w:rPr>
              <w:t>ООО «</w:t>
            </w:r>
            <w:proofErr w:type="spellStart"/>
            <w:r w:rsidRPr="00202155">
              <w:rPr>
                <w:sz w:val="16"/>
                <w:szCs w:val="16"/>
              </w:rPr>
              <w:t>Казьминский</w:t>
            </w:r>
            <w:proofErr w:type="spellEnd"/>
            <w:r w:rsidRPr="00202155">
              <w:rPr>
                <w:sz w:val="16"/>
                <w:szCs w:val="16"/>
              </w:rPr>
              <w:t xml:space="preserve"> молочный комбинат» с инвестиционным проектом «Строительство молокозавода мощностью 50 тонн молока в сутки» с объемом </w:t>
            </w:r>
            <w:r w:rsidRPr="00202155">
              <w:rPr>
                <w:sz w:val="16"/>
                <w:szCs w:val="16"/>
              </w:rPr>
              <w:lastRenderedPageBreak/>
              <w:t>инвестиций - 750 млн. рублей, количеством создаваемых рабочих мест - 194 единицы.</w:t>
            </w:r>
          </w:p>
          <w:p w:rsidR="00202155" w:rsidRPr="00202155" w:rsidRDefault="00202155" w:rsidP="00202155">
            <w:pPr>
              <w:shd w:val="clear" w:color="auto" w:fill="FFFFFF"/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202155">
              <w:rPr>
                <w:sz w:val="16"/>
                <w:szCs w:val="16"/>
              </w:rPr>
              <w:t>ООО «</w:t>
            </w:r>
            <w:proofErr w:type="spellStart"/>
            <w:r w:rsidRPr="00202155">
              <w:rPr>
                <w:sz w:val="16"/>
                <w:szCs w:val="16"/>
              </w:rPr>
              <w:t>ЕвроДом</w:t>
            </w:r>
            <w:proofErr w:type="spellEnd"/>
            <w:r w:rsidRPr="00202155">
              <w:rPr>
                <w:sz w:val="16"/>
                <w:szCs w:val="16"/>
              </w:rPr>
              <w:t xml:space="preserve">» с инвестиционным проектом «Производство изделий из </w:t>
            </w:r>
            <w:proofErr w:type="spellStart"/>
            <w:r w:rsidRPr="00202155">
              <w:rPr>
                <w:sz w:val="16"/>
                <w:szCs w:val="16"/>
              </w:rPr>
              <w:t>пенополистирола</w:t>
            </w:r>
            <w:proofErr w:type="spellEnd"/>
            <w:r w:rsidRPr="00202155">
              <w:rPr>
                <w:sz w:val="16"/>
                <w:szCs w:val="16"/>
              </w:rPr>
              <w:t>» с объемом инвестиций - 25,3 млн. рублей, количеством создаваемых рабочих мест - 21 единицы.</w:t>
            </w:r>
          </w:p>
          <w:p w:rsidR="00202155" w:rsidRPr="00202155" w:rsidRDefault="00202155" w:rsidP="00202155">
            <w:pPr>
              <w:shd w:val="clear" w:color="auto" w:fill="FFFFFF"/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202155">
              <w:rPr>
                <w:sz w:val="16"/>
                <w:szCs w:val="16"/>
              </w:rPr>
              <w:t>ООО «</w:t>
            </w:r>
            <w:proofErr w:type="spellStart"/>
            <w:r w:rsidRPr="00202155">
              <w:rPr>
                <w:sz w:val="16"/>
                <w:szCs w:val="16"/>
              </w:rPr>
              <w:t>Алюмар</w:t>
            </w:r>
            <w:proofErr w:type="spellEnd"/>
            <w:r w:rsidRPr="00202155">
              <w:rPr>
                <w:sz w:val="16"/>
                <w:szCs w:val="16"/>
              </w:rPr>
              <w:t xml:space="preserve">» инвестиционным проектом «Организация импортозамещающего производства высококачественных </w:t>
            </w:r>
            <w:proofErr w:type="spellStart"/>
            <w:r w:rsidRPr="00202155">
              <w:rPr>
                <w:sz w:val="16"/>
                <w:szCs w:val="16"/>
              </w:rPr>
              <w:t>рондолей</w:t>
            </w:r>
            <w:proofErr w:type="spellEnd"/>
            <w:r w:rsidRPr="00202155">
              <w:rPr>
                <w:sz w:val="16"/>
                <w:szCs w:val="16"/>
              </w:rPr>
              <w:t xml:space="preserve"> на территории Ставропольского края» с объемом инвестиций - 357 млн. рублей, количеством создаваемых рабочих мест - 90 единиц.</w:t>
            </w:r>
          </w:p>
          <w:p w:rsidR="00202155" w:rsidRPr="00202155" w:rsidRDefault="00202155" w:rsidP="00202155">
            <w:pPr>
              <w:shd w:val="clear" w:color="auto" w:fill="FFFFFF"/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202155">
              <w:rPr>
                <w:sz w:val="16"/>
                <w:szCs w:val="16"/>
              </w:rPr>
              <w:t>ООО «</w:t>
            </w:r>
            <w:proofErr w:type="spellStart"/>
            <w:r w:rsidRPr="00202155">
              <w:rPr>
                <w:sz w:val="16"/>
                <w:szCs w:val="16"/>
              </w:rPr>
              <w:t>Ремуниверсал</w:t>
            </w:r>
            <w:proofErr w:type="spellEnd"/>
            <w:r w:rsidRPr="00202155">
              <w:rPr>
                <w:sz w:val="16"/>
                <w:szCs w:val="16"/>
              </w:rPr>
              <w:t xml:space="preserve">» с инвестиционным проектом «Создание производства сменного инструмента для выпуска аэрозольных баллонов» с объем инвестиций - </w:t>
            </w:r>
            <w:r w:rsidR="00495AE9">
              <w:rPr>
                <w:sz w:val="16"/>
                <w:szCs w:val="16"/>
              </w:rPr>
              <w:t xml:space="preserve">                    </w:t>
            </w:r>
            <w:r w:rsidRPr="00202155">
              <w:rPr>
                <w:sz w:val="16"/>
                <w:szCs w:val="16"/>
              </w:rPr>
              <w:t>42,5 млн. рублей, количеством создаваемых рабочих мест - 45 единиц.</w:t>
            </w:r>
          </w:p>
          <w:p w:rsidR="00202155" w:rsidRPr="00202155" w:rsidRDefault="00202155" w:rsidP="00202155">
            <w:pPr>
              <w:shd w:val="clear" w:color="auto" w:fill="FFFFFF"/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202155">
              <w:rPr>
                <w:sz w:val="16"/>
                <w:szCs w:val="16"/>
              </w:rPr>
              <w:t>ООО «</w:t>
            </w:r>
            <w:proofErr w:type="spellStart"/>
            <w:r w:rsidRPr="00202155">
              <w:rPr>
                <w:sz w:val="16"/>
                <w:szCs w:val="16"/>
              </w:rPr>
              <w:t>Аэробалл</w:t>
            </w:r>
            <w:proofErr w:type="spellEnd"/>
            <w:r w:rsidRPr="00202155">
              <w:rPr>
                <w:sz w:val="16"/>
                <w:szCs w:val="16"/>
              </w:rPr>
              <w:t xml:space="preserve">» с инвестиционным проектом «Создание современного </w:t>
            </w:r>
            <w:proofErr w:type="spellStart"/>
            <w:r w:rsidRPr="00202155">
              <w:rPr>
                <w:sz w:val="16"/>
                <w:szCs w:val="16"/>
              </w:rPr>
              <w:t>экспортоориентированного</w:t>
            </w:r>
            <w:proofErr w:type="spellEnd"/>
            <w:r w:rsidRPr="00202155">
              <w:rPr>
                <w:sz w:val="16"/>
                <w:szCs w:val="16"/>
              </w:rPr>
              <w:t xml:space="preserve"> производства алюминиевых баллонов на территории Ставропольского края» с объемом инвестиций - 1123,2 млн. рублей, количеством создаваемых рабочих мест - 26 единиц.</w:t>
            </w:r>
          </w:p>
          <w:p w:rsidR="00202155" w:rsidRPr="00202155" w:rsidRDefault="00202155" w:rsidP="00202155">
            <w:pPr>
              <w:shd w:val="clear" w:color="auto" w:fill="FFFFFF"/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202155">
              <w:rPr>
                <w:sz w:val="16"/>
                <w:szCs w:val="16"/>
              </w:rPr>
              <w:t>За 2018 год объем продаж данных предприятий, как резидентов ТОСЭР, составил более 118 мл</w:t>
            </w:r>
            <w:r>
              <w:rPr>
                <w:sz w:val="16"/>
                <w:szCs w:val="16"/>
              </w:rPr>
              <w:t>н. рублей; инвестировано окол</w:t>
            </w:r>
            <w:r w:rsidR="00A97DC6">
              <w:rPr>
                <w:sz w:val="16"/>
                <w:szCs w:val="16"/>
              </w:rPr>
              <w:t>о</w:t>
            </w:r>
            <w:r w:rsidRPr="00202155">
              <w:rPr>
                <w:sz w:val="16"/>
                <w:szCs w:val="16"/>
              </w:rPr>
              <w:t xml:space="preserve"> 1,5 млрд. рублей, создано</w:t>
            </w:r>
            <w:r w:rsidR="00495AE9">
              <w:rPr>
                <w:sz w:val="16"/>
                <w:szCs w:val="16"/>
              </w:rPr>
              <w:t xml:space="preserve">                              </w:t>
            </w:r>
            <w:r w:rsidRPr="00202155">
              <w:rPr>
                <w:sz w:val="16"/>
                <w:szCs w:val="16"/>
              </w:rPr>
              <w:t xml:space="preserve"> 214 рабочих мест.</w:t>
            </w:r>
          </w:p>
          <w:p w:rsidR="008058A8" w:rsidRPr="00CE2E78" w:rsidRDefault="008058A8" w:rsidP="00202155">
            <w:pPr>
              <w:shd w:val="clear" w:color="auto" w:fill="FFFFFF"/>
              <w:suppressAutoHyphens/>
              <w:ind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целью </w:t>
            </w:r>
            <w:r w:rsidRPr="00C62C45">
              <w:rPr>
                <w:sz w:val="16"/>
                <w:szCs w:val="16"/>
              </w:rPr>
              <w:t>проектирования, строительств</w:t>
            </w:r>
            <w:r>
              <w:rPr>
                <w:sz w:val="16"/>
                <w:szCs w:val="16"/>
              </w:rPr>
              <w:t>а</w:t>
            </w:r>
            <w:r w:rsidRPr="00C62C45">
              <w:rPr>
                <w:sz w:val="16"/>
                <w:szCs w:val="16"/>
              </w:rPr>
              <w:t xml:space="preserve"> (реконструкци</w:t>
            </w:r>
            <w:r>
              <w:rPr>
                <w:sz w:val="16"/>
                <w:szCs w:val="16"/>
              </w:rPr>
              <w:t>и</w:t>
            </w:r>
            <w:r w:rsidRPr="00C62C45">
              <w:rPr>
                <w:sz w:val="16"/>
                <w:szCs w:val="16"/>
              </w:rPr>
              <w:t>) объектов инфраструктуры, необходимых для реализации инвестиционных проектов 03.12.2018 заключен муниципальный контракт № 1097607 «Строительство железнодорожного пути необщего пользования с примыканием к железнодорожному пути общего пользования № 51 «К» станции Невинномысска (в том числе проектно-изыскательские работы</w:t>
            </w:r>
            <w:r>
              <w:rPr>
                <w:sz w:val="16"/>
                <w:szCs w:val="16"/>
              </w:rPr>
              <w:t>)</w:t>
            </w:r>
            <w:r w:rsidRPr="00C62C45">
              <w:rPr>
                <w:sz w:val="16"/>
                <w:szCs w:val="16"/>
              </w:rPr>
              <w:t xml:space="preserve"> на сумму 6</w:t>
            </w:r>
            <w:r>
              <w:rPr>
                <w:sz w:val="16"/>
                <w:szCs w:val="16"/>
              </w:rPr>
              <w:t>,</w:t>
            </w:r>
            <w:r w:rsidRPr="00C62C45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млн. </w:t>
            </w:r>
            <w:r w:rsidRPr="00C62C45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лей</w:t>
            </w:r>
            <w:r w:rsidRPr="00C62C4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C62C45">
              <w:rPr>
                <w:sz w:val="16"/>
                <w:szCs w:val="16"/>
              </w:rPr>
              <w:t xml:space="preserve">По результатам электронного аукциона по объекту «Оказание услуг по региональному индустриальному парку «Невинномысск» </w:t>
            </w:r>
            <w:r w:rsidR="00495AE9">
              <w:rPr>
                <w:sz w:val="16"/>
                <w:szCs w:val="16"/>
              </w:rPr>
              <w:t xml:space="preserve">                                 </w:t>
            </w:r>
            <w:r w:rsidRPr="00C62C45">
              <w:rPr>
                <w:sz w:val="16"/>
                <w:szCs w:val="16"/>
              </w:rPr>
              <w:t xml:space="preserve">(II очередь). Строительство наружных сетей электроснабжения, наружных сетей газоснабжения, наружных сетей водоснабжения технической водой, наружных сетей водоотведения II очереди, наружных сетей ливневой канализации (в том числе проектно-изыскательские работы) для обеспечения муниципальных нужд Ставропольского края» аукцион признан несостоявшимся. </w:t>
            </w:r>
            <w:r>
              <w:rPr>
                <w:sz w:val="16"/>
                <w:szCs w:val="16"/>
              </w:rPr>
              <w:t>П</w:t>
            </w:r>
            <w:r w:rsidRPr="00C62C45">
              <w:rPr>
                <w:sz w:val="16"/>
                <w:szCs w:val="16"/>
              </w:rPr>
              <w:t xml:space="preserve">роводится повторная процедура определения поставщика. 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8058A8" w:rsidRPr="008D198C" w:rsidRDefault="008058A8" w:rsidP="009325CC">
            <w:pPr>
              <w:shd w:val="clear" w:color="auto" w:fill="FFFFFF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lastRenderedPageBreak/>
              <w:t>Объем отгруженной промышленной продукции (по крупным и средним предприятиям)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8058A8" w:rsidRPr="008D198C" w:rsidRDefault="008058A8" w:rsidP="009325CC">
            <w:pPr>
              <w:jc w:val="center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 xml:space="preserve">в % </w:t>
            </w:r>
          </w:p>
          <w:p w:rsidR="008058A8" w:rsidRPr="008D198C" w:rsidRDefault="008058A8" w:rsidP="009325CC">
            <w:pPr>
              <w:jc w:val="center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к предыдущему году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:rsidR="008058A8" w:rsidRPr="008D198C" w:rsidRDefault="008058A8" w:rsidP="00A03EFC">
            <w:pPr>
              <w:jc w:val="center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104,25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8058A8" w:rsidRPr="008D198C" w:rsidRDefault="00DE3DAA" w:rsidP="00A03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113,70</w:t>
            </w:r>
          </w:p>
        </w:tc>
      </w:tr>
      <w:tr w:rsidR="00542709" w:rsidRPr="008D198C" w:rsidTr="00547E3A">
        <w:tc>
          <w:tcPr>
            <w:tcW w:w="566" w:type="dxa"/>
            <w:vMerge/>
          </w:tcPr>
          <w:p w:rsidR="00542709" w:rsidRPr="008D198C" w:rsidRDefault="00542709" w:rsidP="00490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2" w:type="dxa"/>
            <w:vMerge/>
          </w:tcPr>
          <w:p w:rsidR="00542709" w:rsidRPr="008D198C" w:rsidRDefault="00542709" w:rsidP="009325CC">
            <w:pPr>
              <w:rPr>
                <w:sz w:val="16"/>
                <w:szCs w:val="16"/>
              </w:rPr>
            </w:pPr>
          </w:p>
        </w:tc>
        <w:tc>
          <w:tcPr>
            <w:tcW w:w="6145" w:type="dxa"/>
            <w:gridSpan w:val="2"/>
            <w:vMerge/>
          </w:tcPr>
          <w:p w:rsidR="00542709" w:rsidRPr="008D198C" w:rsidRDefault="00542709" w:rsidP="009325CC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542709" w:rsidRPr="008D198C" w:rsidRDefault="00542709" w:rsidP="009325CC">
            <w:pPr>
              <w:shd w:val="clear" w:color="auto" w:fill="FFFFFF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Удельный вес объема отгруженных товаров, выполненных работ и услуг по виду работ «строительство»</w:t>
            </w:r>
          </w:p>
        </w:tc>
        <w:tc>
          <w:tcPr>
            <w:tcW w:w="1315" w:type="dxa"/>
            <w:vAlign w:val="center"/>
          </w:tcPr>
          <w:p w:rsidR="00542709" w:rsidRPr="008D198C" w:rsidRDefault="00542709" w:rsidP="009325CC">
            <w:pPr>
              <w:jc w:val="center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 xml:space="preserve">в % к </w:t>
            </w:r>
          </w:p>
          <w:p w:rsidR="00542709" w:rsidRPr="008D198C" w:rsidRDefault="00542709" w:rsidP="009325CC">
            <w:pPr>
              <w:jc w:val="center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общему объему</w:t>
            </w:r>
          </w:p>
        </w:tc>
        <w:tc>
          <w:tcPr>
            <w:tcW w:w="1372" w:type="dxa"/>
            <w:vAlign w:val="center"/>
          </w:tcPr>
          <w:p w:rsidR="00542709" w:rsidRPr="008D198C" w:rsidRDefault="00542709" w:rsidP="00A03EFC">
            <w:pPr>
              <w:jc w:val="center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3,30</w:t>
            </w:r>
          </w:p>
        </w:tc>
        <w:tc>
          <w:tcPr>
            <w:tcW w:w="1240" w:type="dxa"/>
            <w:vAlign w:val="center"/>
          </w:tcPr>
          <w:p w:rsidR="00542709" w:rsidRPr="008D198C" w:rsidRDefault="00DE3DAA" w:rsidP="00E45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1,84</w:t>
            </w:r>
            <w:r w:rsidR="00E45F26">
              <w:rPr>
                <w:sz w:val="16"/>
                <w:szCs w:val="16"/>
              </w:rPr>
              <w:t xml:space="preserve"> (снижение объемов на 29 %)</w:t>
            </w:r>
          </w:p>
        </w:tc>
      </w:tr>
      <w:tr w:rsidR="00542709" w:rsidRPr="008D198C" w:rsidTr="00547E3A">
        <w:tc>
          <w:tcPr>
            <w:tcW w:w="566" w:type="dxa"/>
            <w:vMerge/>
          </w:tcPr>
          <w:p w:rsidR="00542709" w:rsidRPr="008D198C" w:rsidRDefault="00542709" w:rsidP="00490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2" w:type="dxa"/>
            <w:vMerge/>
          </w:tcPr>
          <w:p w:rsidR="00542709" w:rsidRPr="008D198C" w:rsidRDefault="00542709" w:rsidP="00932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5" w:type="dxa"/>
            <w:gridSpan w:val="2"/>
            <w:vMerge/>
          </w:tcPr>
          <w:p w:rsidR="00542709" w:rsidRPr="008D198C" w:rsidRDefault="00542709" w:rsidP="00932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</w:tcPr>
          <w:p w:rsidR="00542709" w:rsidRPr="008D198C" w:rsidRDefault="00542709" w:rsidP="009325CC">
            <w:pPr>
              <w:shd w:val="clear" w:color="auto" w:fill="FFFFFF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Инвестиции в основной капитал крупных и средних предприятий города</w:t>
            </w:r>
          </w:p>
        </w:tc>
        <w:tc>
          <w:tcPr>
            <w:tcW w:w="1315" w:type="dxa"/>
            <w:vAlign w:val="center"/>
          </w:tcPr>
          <w:p w:rsidR="00542709" w:rsidRPr="008D198C" w:rsidRDefault="00542709" w:rsidP="009325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 xml:space="preserve">в % </w:t>
            </w:r>
          </w:p>
          <w:p w:rsidR="00542709" w:rsidRPr="008D198C" w:rsidRDefault="00542709" w:rsidP="009325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к предыдущему году</w:t>
            </w:r>
          </w:p>
        </w:tc>
        <w:tc>
          <w:tcPr>
            <w:tcW w:w="1372" w:type="dxa"/>
            <w:vAlign w:val="center"/>
          </w:tcPr>
          <w:p w:rsidR="00542709" w:rsidRPr="008D198C" w:rsidRDefault="00542709" w:rsidP="00A03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98C">
              <w:rPr>
                <w:rFonts w:ascii="Times New Roman" w:hAnsi="Times New Roman" w:cs="Times New Roman"/>
                <w:sz w:val="16"/>
                <w:szCs w:val="16"/>
              </w:rPr>
              <w:t>106,64</w:t>
            </w:r>
          </w:p>
        </w:tc>
        <w:tc>
          <w:tcPr>
            <w:tcW w:w="1240" w:type="dxa"/>
            <w:vAlign w:val="center"/>
          </w:tcPr>
          <w:p w:rsidR="00542709" w:rsidRPr="008D198C" w:rsidRDefault="00715A6B" w:rsidP="00A03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94,91</w:t>
            </w:r>
          </w:p>
        </w:tc>
      </w:tr>
      <w:tr w:rsidR="00542709" w:rsidRPr="00EF7967" w:rsidTr="00547E3A">
        <w:tc>
          <w:tcPr>
            <w:tcW w:w="566" w:type="dxa"/>
            <w:vMerge/>
          </w:tcPr>
          <w:p w:rsidR="00542709" w:rsidRPr="008D198C" w:rsidRDefault="00542709" w:rsidP="00490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2" w:type="dxa"/>
            <w:vMerge/>
          </w:tcPr>
          <w:p w:rsidR="00542709" w:rsidRPr="008D198C" w:rsidRDefault="00542709" w:rsidP="00932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5" w:type="dxa"/>
            <w:gridSpan w:val="2"/>
            <w:vMerge/>
          </w:tcPr>
          <w:p w:rsidR="00542709" w:rsidRPr="008D198C" w:rsidRDefault="00542709" w:rsidP="00932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</w:tcPr>
          <w:p w:rsidR="00542709" w:rsidRPr="008D198C" w:rsidRDefault="00542709" w:rsidP="009325CC">
            <w:pPr>
              <w:shd w:val="clear" w:color="auto" w:fill="FFFFFF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Доля инновационной продукции в общем объеме промышленной продукции, произведенной крупными и средними предприятиями города Невинномысска</w:t>
            </w:r>
          </w:p>
        </w:tc>
        <w:tc>
          <w:tcPr>
            <w:tcW w:w="1315" w:type="dxa"/>
            <w:vAlign w:val="center"/>
          </w:tcPr>
          <w:p w:rsidR="00542709" w:rsidRPr="008D198C" w:rsidRDefault="00542709" w:rsidP="009325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D198C">
              <w:rPr>
                <w:sz w:val="16"/>
                <w:szCs w:val="16"/>
              </w:rPr>
              <w:t>%</w:t>
            </w:r>
          </w:p>
        </w:tc>
        <w:tc>
          <w:tcPr>
            <w:tcW w:w="1372" w:type="dxa"/>
            <w:vAlign w:val="center"/>
          </w:tcPr>
          <w:p w:rsidR="00542709" w:rsidRPr="00EF7967" w:rsidRDefault="00542709" w:rsidP="00A03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98C"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1240" w:type="dxa"/>
            <w:vAlign w:val="center"/>
          </w:tcPr>
          <w:p w:rsidR="00542709" w:rsidRPr="008D198C" w:rsidRDefault="00542709" w:rsidP="00A03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70F75" w:rsidRPr="00EF7967" w:rsidTr="00665112">
        <w:tc>
          <w:tcPr>
            <w:tcW w:w="566" w:type="dxa"/>
          </w:tcPr>
          <w:p w:rsidR="00B70F75" w:rsidRPr="008D198C" w:rsidRDefault="00B70F75" w:rsidP="00490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4" w:type="dxa"/>
            <w:gridSpan w:val="7"/>
            <w:shd w:val="clear" w:color="auto" w:fill="auto"/>
          </w:tcPr>
          <w:p w:rsidR="00B70F75" w:rsidRPr="00810B7E" w:rsidRDefault="00B70F75" w:rsidP="00FB1D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0B7E">
              <w:rPr>
                <w:rFonts w:ascii="Times New Roman" w:hAnsi="Times New Roman" w:cs="Times New Roman"/>
                <w:sz w:val="16"/>
                <w:szCs w:val="16"/>
              </w:rPr>
              <w:t xml:space="preserve">Из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02447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показателей </w:t>
            </w:r>
            <w:r w:rsidR="00206794">
              <w:rPr>
                <w:rFonts w:ascii="Times New Roman" w:hAnsi="Times New Roman" w:cs="Times New Roman"/>
                <w:sz w:val="16"/>
                <w:szCs w:val="16"/>
              </w:rPr>
              <w:t>достигнут</w:t>
            </w:r>
            <w:r w:rsidR="00FB1D0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067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B1D00">
              <w:rPr>
                <w:rFonts w:ascii="Times New Roman" w:hAnsi="Times New Roman" w:cs="Times New Roman"/>
                <w:sz w:val="16"/>
                <w:szCs w:val="16"/>
              </w:rPr>
              <w:t xml:space="preserve">, задача решена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 33 %</w:t>
            </w:r>
            <w:r w:rsidRPr="00810B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FB1D00" w:rsidRPr="00EF7967" w:rsidTr="00665112">
        <w:tc>
          <w:tcPr>
            <w:tcW w:w="566" w:type="dxa"/>
          </w:tcPr>
          <w:p w:rsidR="00FB1D00" w:rsidRPr="008D198C" w:rsidRDefault="00FB1D00" w:rsidP="00490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4" w:type="dxa"/>
            <w:gridSpan w:val="7"/>
            <w:shd w:val="clear" w:color="auto" w:fill="auto"/>
          </w:tcPr>
          <w:p w:rsidR="00FB1D00" w:rsidRPr="00810B7E" w:rsidRDefault="00FB1D00" w:rsidP="0020679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 достигнута на 61 %.</w:t>
            </w:r>
          </w:p>
        </w:tc>
      </w:tr>
    </w:tbl>
    <w:p w:rsidR="00490A15" w:rsidRDefault="00490A15"/>
    <w:p w:rsidR="007D7158" w:rsidRDefault="007D7158"/>
    <w:p w:rsidR="007D7158" w:rsidRDefault="007D7158"/>
    <w:p w:rsidR="007D7158" w:rsidRDefault="007D7158" w:rsidP="007D7158">
      <w:pPr>
        <w:pStyle w:val="ad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816FB1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7D7158" w:rsidRPr="00816FB1" w:rsidRDefault="007D7158" w:rsidP="007D7158">
      <w:pPr>
        <w:pStyle w:val="ad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816FB1">
        <w:rPr>
          <w:rFonts w:ascii="Times New Roman" w:hAnsi="Times New Roman"/>
          <w:sz w:val="28"/>
          <w:szCs w:val="28"/>
        </w:rPr>
        <w:t>экономического развития</w:t>
      </w:r>
    </w:p>
    <w:p w:rsidR="007D7158" w:rsidRPr="00816FB1" w:rsidRDefault="007D7158" w:rsidP="007D7158">
      <w:pPr>
        <w:pStyle w:val="ad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816FB1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95AE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816FB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В.В. Жданов</w:t>
      </w:r>
    </w:p>
    <w:p w:rsidR="007D7158" w:rsidRDefault="007D7158" w:rsidP="007D7158">
      <w:pPr>
        <w:ind w:firstLine="720"/>
        <w:jc w:val="both"/>
        <w:rPr>
          <w:szCs w:val="28"/>
        </w:rPr>
      </w:pPr>
    </w:p>
    <w:p w:rsidR="00495AE9" w:rsidRDefault="00495AE9" w:rsidP="007D7158">
      <w:pPr>
        <w:ind w:firstLine="720"/>
        <w:jc w:val="both"/>
        <w:rPr>
          <w:szCs w:val="28"/>
        </w:rPr>
      </w:pPr>
    </w:p>
    <w:p w:rsidR="007D7158" w:rsidRPr="002823CF" w:rsidRDefault="007D7158" w:rsidP="007D7158">
      <w:pPr>
        <w:pStyle w:val="ad"/>
        <w:spacing w:after="0" w:line="240" w:lineRule="exact"/>
        <w:ind w:left="0"/>
        <w:rPr>
          <w:rFonts w:ascii="Times New Roman" w:hAnsi="Times New Roman"/>
          <w:sz w:val="20"/>
          <w:szCs w:val="20"/>
        </w:rPr>
      </w:pPr>
      <w:r w:rsidRPr="002823CF">
        <w:rPr>
          <w:rFonts w:ascii="Times New Roman" w:hAnsi="Times New Roman"/>
          <w:sz w:val="20"/>
          <w:szCs w:val="20"/>
        </w:rPr>
        <w:t>И.Г. Ануфриева</w:t>
      </w:r>
    </w:p>
    <w:p w:rsidR="007D7158" w:rsidRDefault="007D7158" w:rsidP="00AA5D3C">
      <w:pPr>
        <w:pStyle w:val="ad"/>
        <w:spacing w:after="0" w:line="240" w:lineRule="exact"/>
        <w:ind w:left="0"/>
      </w:pPr>
      <w:r>
        <w:rPr>
          <w:rFonts w:ascii="Times New Roman" w:hAnsi="Times New Roman"/>
          <w:sz w:val="20"/>
          <w:szCs w:val="20"/>
        </w:rPr>
        <w:t>2-88-60 (152)</w:t>
      </w:r>
    </w:p>
    <w:sectPr w:rsidR="007D7158" w:rsidSect="00AA5D3C">
      <w:headerReference w:type="default" r:id="rId7"/>
      <w:pgSz w:w="16838" w:h="11906" w:orient="landscape"/>
      <w:pgMar w:top="1134" w:right="851" w:bottom="1134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2EC" w:rsidRDefault="000652EC" w:rsidP="00327BAD">
      <w:r>
        <w:separator/>
      </w:r>
    </w:p>
  </w:endnote>
  <w:endnote w:type="continuationSeparator" w:id="0">
    <w:p w:rsidR="000652EC" w:rsidRDefault="000652EC" w:rsidP="0032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2EC" w:rsidRDefault="000652EC" w:rsidP="00327BAD">
      <w:r>
        <w:separator/>
      </w:r>
    </w:p>
  </w:footnote>
  <w:footnote w:type="continuationSeparator" w:id="0">
    <w:p w:rsidR="000652EC" w:rsidRDefault="000652EC" w:rsidP="00327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3386661"/>
      <w:docPartObj>
        <w:docPartGallery w:val="Page Numbers (Top of Page)"/>
        <w:docPartUnique/>
      </w:docPartObj>
    </w:sdtPr>
    <w:sdtEndPr/>
    <w:sdtContent>
      <w:p w:rsidR="00327BAD" w:rsidRDefault="00327BA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780">
          <w:rPr>
            <w:noProof/>
          </w:rPr>
          <w:t>7</w:t>
        </w:r>
        <w:r>
          <w:fldChar w:fldCharType="end"/>
        </w:r>
      </w:p>
    </w:sdtContent>
  </w:sdt>
  <w:p w:rsidR="00327BAD" w:rsidRDefault="00327BAD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78"/>
    <w:rsid w:val="0003234D"/>
    <w:rsid w:val="000636CD"/>
    <w:rsid w:val="000652EC"/>
    <w:rsid w:val="00072AB2"/>
    <w:rsid w:val="000B513A"/>
    <w:rsid w:val="000C5445"/>
    <w:rsid w:val="000F7640"/>
    <w:rsid w:val="00121C17"/>
    <w:rsid w:val="00137355"/>
    <w:rsid w:val="0016036D"/>
    <w:rsid w:val="00173306"/>
    <w:rsid w:val="0018010D"/>
    <w:rsid w:val="00187471"/>
    <w:rsid w:val="001A04D1"/>
    <w:rsid w:val="001B4F48"/>
    <w:rsid w:val="001C3FFE"/>
    <w:rsid w:val="00202155"/>
    <w:rsid w:val="00206794"/>
    <w:rsid w:val="00210AEE"/>
    <w:rsid w:val="00222A55"/>
    <w:rsid w:val="002A333F"/>
    <w:rsid w:val="002C0FBC"/>
    <w:rsid w:val="002D7CF1"/>
    <w:rsid w:val="002E2523"/>
    <w:rsid w:val="00306E3C"/>
    <w:rsid w:val="0032094C"/>
    <w:rsid w:val="00327BAD"/>
    <w:rsid w:val="00336212"/>
    <w:rsid w:val="00342E29"/>
    <w:rsid w:val="00351BF3"/>
    <w:rsid w:val="003A1C6B"/>
    <w:rsid w:val="003A7066"/>
    <w:rsid w:val="003E355E"/>
    <w:rsid w:val="003F6AEB"/>
    <w:rsid w:val="0041057A"/>
    <w:rsid w:val="00445C10"/>
    <w:rsid w:val="004817CE"/>
    <w:rsid w:val="004904DB"/>
    <w:rsid w:val="00490A15"/>
    <w:rsid w:val="00490C9E"/>
    <w:rsid w:val="00491915"/>
    <w:rsid w:val="00495AE9"/>
    <w:rsid w:val="004B650E"/>
    <w:rsid w:val="004C5E31"/>
    <w:rsid w:val="004C6430"/>
    <w:rsid w:val="00542709"/>
    <w:rsid w:val="00547E3A"/>
    <w:rsid w:val="00547ECD"/>
    <w:rsid w:val="005623B2"/>
    <w:rsid w:val="00577D6A"/>
    <w:rsid w:val="005926BB"/>
    <w:rsid w:val="005D334C"/>
    <w:rsid w:val="005E246E"/>
    <w:rsid w:val="005E73DC"/>
    <w:rsid w:val="006064DF"/>
    <w:rsid w:val="00685720"/>
    <w:rsid w:val="006A4CEA"/>
    <w:rsid w:val="006E267B"/>
    <w:rsid w:val="006E5E58"/>
    <w:rsid w:val="006E71B7"/>
    <w:rsid w:val="006F0202"/>
    <w:rsid w:val="006F1836"/>
    <w:rsid w:val="00715A6B"/>
    <w:rsid w:val="00790300"/>
    <w:rsid w:val="007B1825"/>
    <w:rsid w:val="007D7158"/>
    <w:rsid w:val="007F39CD"/>
    <w:rsid w:val="008058A8"/>
    <w:rsid w:val="00810B7E"/>
    <w:rsid w:val="00814642"/>
    <w:rsid w:val="008160B0"/>
    <w:rsid w:val="00821B52"/>
    <w:rsid w:val="00831A83"/>
    <w:rsid w:val="008534D7"/>
    <w:rsid w:val="00856005"/>
    <w:rsid w:val="00871992"/>
    <w:rsid w:val="0087461D"/>
    <w:rsid w:val="008C507C"/>
    <w:rsid w:val="008E4D3C"/>
    <w:rsid w:val="00902447"/>
    <w:rsid w:val="009078C1"/>
    <w:rsid w:val="00912E1A"/>
    <w:rsid w:val="0091308E"/>
    <w:rsid w:val="0094225A"/>
    <w:rsid w:val="00954291"/>
    <w:rsid w:val="00956050"/>
    <w:rsid w:val="00963CC6"/>
    <w:rsid w:val="009709C8"/>
    <w:rsid w:val="00971578"/>
    <w:rsid w:val="00994FC7"/>
    <w:rsid w:val="009D1FE3"/>
    <w:rsid w:val="009F6567"/>
    <w:rsid w:val="00A0184B"/>
    <w:rsid w:val="00A03EFC"/>
    <w:rsid w:val="00A269C2"/>
    <w:rsid w:val="00A42DF3"/>
    <w:rsid w:val="00A44E15"/>
    <w:rsid w:val="00A967CE"/>
    <w:rsid w:val="00A97DC6"/>
    <w:rsid w:val="00AA5D3C"/>
    <w:rsid w:val="00AC5005"/>
    <w:rsid w:val="00AD0810"/>
    <w:rsid w:val="00AD41EC"/>
    <w:rsid w:val="00AE46B1"/>
    <w:rsid w:val="00B157F5"/>
    <w:rsid w:val="00B16BF7"/>
    <w:rsid w:val="00B66F1D"/>
    <w:rsid w:val="00B70F75"/>
    <w:rsid w:val="00B84391"/>
    <w:rsid w:val="00BB75E1"/>
    <w:rsid w:val="00BC5D1F"/>
    <w:rsid w:val="00C173EC"/>
    <w:rsid w:val="00C20AC2"/>
    <w:rsid w:val="00C446EA"/>
    <w:rsid w:val="00C47B5B"/>
    <w:rsid w:val="00C62C45"/>
    <w:rsid w:val="00C65AE3"/>
    <w:rsid w:val="00C71705"/>
    <w:rsid w:val="00CC10AC"/>
    <w:rsid w:val="00CD2E2D"/>
    <w:rsid w:val="00CE2E78"/>
    <w:rsid w:val="00D0208B"/>
    <w:rsid w:val="00D16D68"/>
    <w:rsid w:val="00D31A82"/>
    <w:rsid w:val="00D76AC8"/>
    <w:rsid w:val="00DD2A8A"/>
    <w:rsid w:val="00DE3DAA"/>
    <w:rsid w:val="00DF6230"/>
    <w:rsid w:val="00E117A6"/>
    <w:rsid w:val="00E23455"/>
    <w:rsid w:val="00E411A3"/>
    <w:rsid w:val="00E45F26"/>
    <w:rsid w:val="00E61201"/>
    <w:rsid w:val="00E75EAC"/>
    <w:rsid w:val="00E76F1B"/>
    <w:rsid w:val="00EB47D1"/>
    <w:rsid w:val="00EE0A2C"/>
    <w:rsid w:val="00EE5F54"/>
    <w:rsid w:val="00EE628D"/>
    <w:rsid w:val="00EF7384"/>
    <w:rsid w:val="00F163A1"/>
    <w:rsid w:val="00F17780"/>
    <w:rsid w:val="00F22C42"/>
    <w:rsid w:val="00F34F9A"/>
    <w:rsid w:val="00F426CB"/>
    <w:rsid w:val="00F44966"/>
    <w:rsid w:val="00F645AE"/>
    <w:rsid w:val="00F65426"/>
    <w:rsid w:val="00FB1D00"/>
    <w:rsid w:val="00FC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A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490A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490A15"/>
    <w:pPr>
      <w:spacing w:line="240" w:lineRule="exact"/>
      <w:jc w:val="both"/>
    </w:pPr>
    <w:rPr>
      <w:spacing w:val="-4"/>
    </w:rPr>
  </w:style>
  <w:style w:type="character" w:customStyle="1" w:styleId="a4">
    <w:name w:val="Основной текст Знак"/>
    <w:basedOn w:val="a0"/>
    <w:link w:val="a3"/>
    <w:rsid w:val="00490A15"/>
    <w:rPr>
      <w:rFonts w:ascii="Times New Roman" w:eastAsia="Times New Roman" w:hAnsi="Times New Roman" w:cs="Times New Roman"/>
      <w:spacing w:val="-4"/>
      <w:sz w:val="28"/>
      <w:szCs w:val="24"/>
      <w:lang w:eastAsia="ru-RU"/>
    </w:rPr>
  </w:style>
  <w:style w:type="paragraph" w:styleId="a5">
    <w:name w:val="Balloon Text"/>
    <w:basedOn w:val="a"/>
    <w:link w:val="a6"/>
    <w:rsid w:val="00490A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0A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036D"/>
    <w:pPr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22">
    <w:name w:val="Основной текст 22"/>
    <w:basedOn w:val="a"/>
    <w:rsid w:val="005926BB"/>
    <w:pPr>
      <w:suppressAutoHyphens/>
      <w:spacing w:after="120" w:line="480" w:lineRule="auto"/>
    </w:pPr>
    <w:rPr>
      <w:lang w:eastAsia="ar-SA"/>
    </w:rPr>
  </w:style>
  <w:style w:type="paragraph" w:styleId="a8">
    <w:name w:val="Title"/>
    <w:basedOn w:val="a"/>
    <w:link w:val="a9"/>
    <w:qFormat/>
    <w:rsid w:val="006F1836"/>
    <w:pPr>
      <w:jc w:val="center"/>
    </w:pPr>
    <w:rPr>
      <w:b/>
      <w:bCs/>
      <w:sz w:val="24"/>
    </w:rPr>
  </w:style>
  <w:style w:type="character" w:customStyle="1" w:styleId="a9">
    <w:name w:val="Название Знак"/>
    <w:basedOn w:val="a0"/>
    <w:link w:val="a8"/>
    <w:rsid w:val="006F18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aliases w:val="основа"/>
    <w:link w:val="ab"/>
    <w:uiPriority w:val="1"/>
    <w:qFormat/>
    <w:rsid w:val="00577D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aliases w:val="основа Знак"/>
    <w:link w:val="aa"/>
    <w:uiPriority w:val="1"/>
    <w:locked/>
    <w:rsid w:val="00577D6A"/>
    <w:rPr>
      <w:rFonts w:ascii="Calibri" w:eastAsia="Calibri" w:hAnsi="Calibri" w:cs="Times New Roman"/>
    </w:rPr>
  </w:style>
  <w:style w:type="paragraph" w:customStyle="1" w:styleId="6">
    <w:name w:val="Знак Знак6 Знак Знак"/>
    <w:basedOn w:val="a"/>
    <w:rsid w:val="00E76F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0">
    <w:name w:val="Знак Знак6 Знак Знак Знак Знак"/>
    <w:basedOn w:val="a"/>
    <w:rsid w:val="00C173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unformattexttopleveltext">
    <w:name w:val="unformattext topleveltext"/>
    <w:basedOn w:val="a"/>
    <w:uiPriority w:val="99"/>
    <w:rsid w:val="00F34F9A"/>
    <w:pPr>
      <w:spacing w:before="100" w:beforeAutospacing="1" w:after="100" w:afterAutospacing="1"/>
    </w:pPr>
    <w:rPr>
      <w:rFonts w:ascii="Calibri" w:eastAsia="Calibri" w:hAnsi="Calibri" w:cs="Calibri"/>
      <w:sz w:val="24"/>
    </w:rPr>
  </w:style>
  <w:style w:type="paragraph" w:styleId="ac">
    <w:name w:val="Normal (Web)"/>
    <w:aliases w:val="Обычный (Web)1,Обычный (Web)11"/>
    <w:basedOn w:val="a"/>
    <w:uiPriority w:val="99"/>
    <w:unhideWhenUsed/>
    <w:qFormat/>
    <w:rsid w:val="00B84391"/>
    <w:pPr>
      <w:spacing w:before="100" w:beforeAutospacing="1" w:after="100" w:afterAutospacing="1"/>
    </w:pPr>
    <w:rPr>
      <w:sz w:val="24"/>
    </w:rPr>
  </w:style>
  <w:style w:type="paragraph" w:customStyle="1" w:styleId="ConsNormal">
    <w:name w:val="ConsNormal"/>
    <w:rsid w:val="00EB4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61">
    <w:name w:val="Знак Знак6 Знак Знак"/>
    <w:basedOn w:val="a"/>
    <w:rsid w:val="00EB47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 Знак Знак"/>
    <w:basedOn w:val="a"/>
    <w:rsid w:val="00202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3">
    <w:name w:val="Знак Знак6 Знак Знак"/>
    <w:basedOn w:val="a"/>
    <w:rsid w:val="000323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 Indent"/>
    <w:aliases w:val="Основной текст 1,Нумерованный список !!,Надин стиль"/>
    <w:basedOn w:val="a"/>
    <w:link w:val="ae"/>
    <w:unhideWhenUsed/>
    <w:rsid w:val="007D715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"/>
    <w:basedOn w:val="a0"/>
    <w:link w:val="ad"/>
    <w:rsid w:val="007D7158"/>
    <w:rPr>
      <w:rFonts w:ascii="Calibri" w:eastAsia="Times New Roman" w:hAnsi="Calibri" w:cs="Times New Roman"/>
      <w:lang w:eastAsia="ru-RU"/>
    </w:rPr>
  </w:style>
  <w:style w:type="paragraph" w:customStyle="1" w:styleId="64">
    <w:name w:val="Знак Знак6 Знак Знак"/>
    <w:basedOn w:val="a"/>
    <w:rsid w:val="007D71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unhideWhenUsed/>
    <w:rsid w:val="00327B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27B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27B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27BA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A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490A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490A15"/>
    <w:pPr>
      <w:spacing w:line="240" w:lineRule="exact"/>
      <w:jc w:val="both"/>
    </w:pPr>
    <w:rPr>
      <w:spacing w:val="-4"/>
    </w:rPr>
  </w:style>
  <w:style w:type="character" w:customStyle="1" w:styleId="a4">
    <w:name w:val="Основной текст Знак"/>
    <w:basedOn w:val="a0"/>
    <w:link w:val="a3"/>
    <w:rsid w:val="00490A15"/>
    <w:rPr>
      <w:rFonts w:ascii="Times New Roman" w:eastAsia="Times New Roman" w:hAnsi="Times New Roman" w:cs="Times New Roman"/>
      <w:spacing w:val="-4"/>
      <w:sz w:val="28"/>
      <w:szCs w:val="24"/>
      <w:lang w:eastAsia="ru-RU"/>
    </w:rPr>
  </w:style>
  <w:style w:type="paragraph" w:styleId="a5">
    <w:name w:val="Balloon Text"/>
    <w:basedOn w:val="a"/>
    <w:link w:val="a6"/>
    <w:rsid w:val="00490A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0A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036D"/>
    <w:pPr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22">
    <w:name w:val="Основной текст 22"/>
    <w:basedOn w:val="a"/>
    <w:rsid w:val="005926BB"/>
    <w:pPr>
      <w:suppressAutoHyphens/>
      <w:spacing w:after="120" w:line="480" w:lineRule="auto"/>
    </w:pPr>
    <w:rPr>
      <w:lang w:eastAsia="ar-SA"/>
    </w:rPr>
  </w:style>
  <w:style w:type="paragraph" w:styleId="a8">
    <w:name w:val="Title"/>
    <w:basedOn w:val="a"/>
    <w:link w:val="a9"/>
    <w:qFormat/>
    <w:rsid w:val="006F1836"/>
    <w:pPr>
      <w:jc w:val="center"/>
    </w:pPr>
    <w:rPr>
      <w:b/>
      <w:bCs/>
      <w:sz w:val="24"/>
    </w:rPr>
  </w:style>
  <w:style w:type="character" w:customStyle="1" w:styleId="a9">
    <w:name w:val="Название Знак"/>
    <w:basedOn w:val="a0"/>
    <w:link w:val="a8"/>
    <w:rsid w:val="006F18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aliases w:val="основа"/>
    <w:link w:val="ab"/>
    <w:uiPriority w:val="1"/>
    <w:qFormat/>
    <w:rsid w:val="00577D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aliases w:val="основа Знак"/>
    <w:link w:val="aa"/>
    <w:uiPriority w:val="1"/>
    <w:locked/>
    <w:rsid w:val="00577D6A"/>
    <w:rPr>
      <w:rFonts w:ascii="Calibri" w:eastAsia="Calibri" w:hAnsi="Calibri" w:cs="Times New Roman"/>
    </w:rPr>
  </w:style>
  <w:style w:type="paragraph" w:customStyle="1" w:styleId="6">
    <w:name w:val="Знак Знак6 Знак Знак"/>
    <w:basedOn w:val="a"/>
    <w:rsid w:val="00E76F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0">
    <w:name w:val="Знак Знак6 Знак Знак Знак Знак"/>
    <w:basedOn w:val="a"/>
    <w:rsid w:val="00C173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unformattexttopleveltext">
    <w:name w:val="unformattext topleveltext"/>
    <w:basedOn w:val="a"/>
    <w:uiPriority w:val="99"/>
    <w:rsid w:val="00F34F9A"/>
    <w:pPr>
      <w:spacing w:before="100" w:beforeAutospacing="1" w:after="100" w:afterAutospacing="1"/>
    </w:pPr>
    <w:rPr>
      <w:rFonts w:ascii="Calibri" w:eastAsia="Calibri" w:hAnsi="Calibri" w:cs="Calibri"/>
      <w:sz w:val="24"/>
    </w:rPr>
  </w:style>
  <w:style w:type="paragraph" w:styleId="ac">
    <w:name w:val="Normal (Web)"/>
    <w:aliases w:val="Обычный (Web)1,Обычный (Web)11"/>
    <w:basedOn w:val="a"/>
    <w:uiPriority w:val="99"/>
    <w:unhideWhenUsed/>
    <w:qFormat/>
    <w:rsid w:val="00B84391"/>
    <w:pPr>
      <w:spacing w:before="100" w:beforeAutospacing="1" w:after="100" w:afterAutospacing="1"/>
    </w:pPr>
    <w:rPr>
      <w:sz w:val="24"/>
    </w:rPr>
  </w:style>
  <w:style w:type="paragraph" w:customStyle="1" w:styleId="ConsNormal">
    <w:name w:val="ConsNormal"/>
    <w:rsid w:val="00EB4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61">
    <w:name w:val="Знак Знак6 Знак Знак"/>
    <w:basedOn w:val="a"/>
    <w:rsid w:val="00EB47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 Знак Знак"/>
    <w:basedOn w:val="a"/>
    <w:rsid w:val="00202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3">
    <w:name w:val="Знак Знак6 Знак Знак"/>
    <w:basedOn w:val="a"/>
    <w:rsid w:val="000323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 Indent"/>
    <w:aliases w:val="Основной текст 1,Нумерованный список !!,Надин стиль"/>
    <w:basedOn w:val="a"/>
    <w:link w:val="ae"/>
    <w:unhideWhenUsed/>
    <w:rsid w:val="007D715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"/>
    <w:basedOn w:val="a0"/>
    <w:link w:val="ad"/>
    <w:rsid w:val="007D7158"/>
    <w:rPr>
      <w:rFonts w:ascii="Calibri" w:eastAsia="Times New Roman" w:hAnsi="Calibri" w:cs="Times New Roman"/>
      <w:lang w:eastAsia="ru-RU"/>
    </w:rPr>
  </w:style>
  <w:style w:type="paragraph" w:customStyle="1" w:styleId="64">
    <w:name w:val="Знак Знак6 Знак Знак"/>
    <w:basedOn w:val="a"/>
    <w:rsid w:val="007D71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unhideWhenUsed/>
    <w:rsid w:val="00327B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27B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27B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27BA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11</Pages>
  <Words>5960</Words>
  <Characters>33977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146</cp:revision>
  <cp:lastPrinted>2019-03-06T12:22:00Z</cp:lastPrinted>
  <dcterms:created xsi:type="dcterms:W3CDTF">2019-01-31T12:16:00Z</dcterms:created>
  <dcterms:modified xsi:type="dcterms:W3CDTF">2019-03-06T12:23:00Z</dcterms:modified>
</cp:coreProperties>
</file>