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C17" w:rsidRPr="007F425D" w:rsidRDefault="008B6C17" w:rsidP="007F425D">
      <w:pPr>
        <w:tabs>
          <w:tab w:val="left" w:pos="552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sidRPr="007F425D">
        <w:rPr>
          <w:rFonts w:ascii="Times New Roman" w:hAnsi="Times New Roman" w:cs="Times New Roman"/>
          <w:sz w:val="28"/>
          <w:szCs w:val="28"/>
        </w:rPr>
        <w:t>УТВЕРЖДЕНА</w:t>
      </w:r>
    </w:p>
    <w:p w:rsidR="008B6C17" w:rsidRPr="007F425D" w:rsidRDefault="008B6C17" w:rsidP="007F425D">
      <w:pPr>
        <w:tabs>
          <w:tab w:val="left" w:pos="5529"/>
          <w:tab w:val="left" w:pos="5954"/>
        </w:tabs>
        <w:spacing w:after="0" w:line="240" w:lineRule="auto"/>
        <w:ind w:firstLine="5529"/>
        <w:jc w:val="both"/>
        <w:rPr>
          <w:rFonts w:ascii="Times New Roman" w:hAnsi="Times New Roman" w:cs="Times New Roman"/>
          <w:sz w:val="28"/>
          <w:szCs w:val="28"/>
        </w:rPr>
      </w:pPr>
      <w:r w:rsidRPr="007F425D">
        <w:rPr>
          <w:rFonts w:ascii="Times New Roman" w:hAnsi="Times New Roman" w:cs="Times New Roman"/>
          <w:sz w:val="28"/>
          <w:szCs w:val="28"/>
        </w:rPr>
        <w:t>постановлением главы</w:t>
      </w:r>
    </w:p>
    <w:p w:rsidR="008B6C17" w:rsidRPr="007F425D" w:rsidRDefault="008B6C17" w:rsidP="007F425D">
      <w:pPr>
        <w:tabs>
          <w:tab w:val="left" w:pos="5529"/>
          <w:tab w:val="left" w:pos="5954"/>
        </w:tabs>
        <w:spacing w:after="0" w:line="240" w:lineRule="auto"/>
        <w:ind w:firstLine="5529"/>
        <w:jc w:val="both"/>
        <w:rPr>
          <w:rFonts w:ascii="Times New Roman" w:hAnsi="Times New Roman" w:cs="Times New Roman"/>
          <w:sz w:val="28"/>
          <w:szCs w:val="28"/>
        </w:rPr>
      </w:pPr>
      <w:r w:rsidRPr="007F425D">
        <w:rPr>
          <w:rFonts w:ascii="Times New Roman" w:hAnsi="Times New Roman" w:cs="Times New Roman"/>
          <w:sz w:val="28"/>
          <w:szCs w:val="28"/>
        </w:rPr>
        <w:t>Волчанского городского округа</w:t>
      </w:r>
    </w:p>
    <w:p w:rsidR="008B6C17" w:rsidRPr="007F425D" w:rsidRDefault="008B6C17" w:rsidP="007F425D">
      <w:pPr>
        <w:tabs>
          <w:tab w:val="left" w:pos="5529"/>
          <w:tab w:val="left" w:pos="5954"/>
        </w:tabs>
        <w:spacing w:after="0" w:line="240" w:lineRule="auto"/>
        <w:ind w:left="5529"/>
        <w:jc w:val="both"/>
        <w:rPr>
          <w:rFonts w:ascii="Times New Roman" w:hAnsi="Times New Roman" w:cs="Times New Roman"/>
          <w:sz w:val="28"/>
          <w:szCs w:val="28"/>
        </w:rPr>
      </w:pPr>
      <w:r w:rsidRPr="007F425D">
        <w:rPr>
          <w:rFonts w:ascii="Times New Roman" w:hAnsi="Times New Roman" w:cs="Times New Roman"/>
          <w:sz w:val="28"/>
          <w:szCs w:val="28"/>
        </w:rPr>
        <w:t>от «30» декабря 2014 г. № 1152 (в ред. от 18.09.2015 г. № 676, в ред. от 29.03.2016г. № 203)</w:t>
      </w:r>
    </w:p>
    <w:p w:rsidR="008B6C17" w:rsidRPr="007F425D" w:rsidRDefault="008B6C17" w:rsidP="007F425D">
      <w:pPr>
        <w:spacing w:after="0" w:line="240" w:lineRule="auto"/>
        <w:ind w:firstLine="709"/>
        <w:jc w:val="both"/>
        <w:rPr>
          <w:rFonts w:ascii="Times New Roman" w:hAnsi="Times New Roman" w:cs="Times New Roman"/>
          <w:b/>
          <w:bCs/>
          <w:sz w:val="28"/>
          <w:szCs w:val="28"/>
        </w:rPr>
      </w:pPr>
    </w:p>
    <w:p w:rsidR="008B6C17" w:rsidRPr="007F425D" w:rsidRDefault="008B6C17" w:rsidP="007F425D">
      <w:pPr>
        <w:spacing w:after="0" w:line="240" w:lineRule="auto"/>
        <w:ind w:firstLine="709"/>
        <w:jc w:val="both"/>
        <w:rPr>
          <w:rFonts w:ascii="Times New Roman" w:hAnsi="Times New Roman" w:cs="Times New Roman"/>
          <w:b/>
          <w:bCs/>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ПРОГРАММА ВОЛЧАНСКОГО ГОРОДСКОГО ОКРУГА</w:t>
      </w: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«КОМПЛЕКСНОЕ РАЗВИТИЕ СИСТЕМ КОММУНАЛЬНОЙ ИНФРАСТРУКТУРЫ ВОЛЧАНСКОГО ГОРОДСКОГО ОКРУГА</w:t>
      </w: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ДО 2030 ГОДА»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Паспорт программы Волчанского городского округа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«Комплексное развитие систем коммунальной инфраструктуры Волчанского городского округа до 2030 года</w:t>
      </w:r>
      <w:r w:rsidRPr="007F425D">
        <w:rPr>
          <w:rFonts w:ascii="Times New Roman" w:hAnsi="Times New Roman" w:cs="Times New Roman"/>
          <w:b/>
          <w:bCs/>
          <w:sz w:val="28"/>
          <w:szCs w:val="28"/>
        </w:rPr>
        <w:t>»</w:t>
      </w:r>
      <w:r w:rsidRPr="007F425D">
        <w:rPr>
          <w:rFonts w:ascii="Times New Roman" w:hAnsi="Times New Roman" w:cs="Times New Roman"/>
          <w:sz w:val="28"/>
          <w:szCs w:val="28"/>
        </w:rPr>
        <w:t xml:space="preserve"> (далее – Программа)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p>
    <w:tbl>
      <w:tblPr>
        <w:tblW w:w="0" w:type="auto"/>
        <w:tblCellSpacing w:w="5" w:type="nil"/>
        <w:tblInd w:w="-73" w:type="dxa"/>
        <w:tblLayout w:type="fixed"/>
        <w:tblCellMar>
          <w:left w:w="75" w:type="dxa"/>
          <w:right w:w="75" w:type="dxa"/>
        </w:tblCellMar>
        <w:tblLook w:val="0000"/>
      </w:tblPr>
      <w:tblGrid>
        <w:gridCol w:w="3720"/>
        <w:gridCol w:w="5352"/>
      </w:tblGrid>
      <w:tr w:rsidR="008B6C17" w:rsidRPr="007F425D">
        <w:trPr>
          <w:trHeight w:val="932"/>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Наименование программы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«Комплексное развитие систем коммунальной инфраструктуры Волчанского городского округа до 2030 года</w:t>
            </w:r>
            <w:r w:rsidRPr="007F425D">
              <w:rPr>
                <w:rFonts w:ascii="Times New Roman" w:hAnsi="Times New Roman" w:cs="Times New Roman"/>
                <w:b/>
                <w:bCs/>
                <w:sz w:val="28"/>
                <w:szCs w:val="28"/>
              </w:rPr>
              <w:t>»</w:t>
            </w:r>
          </w:p>
        </w:tc>
      </w:tr>
      <w:tr w:rsidR="008B6C17" w:rsidRPr="007F425D">
        <w:trPr>
          <w:trHeight w:val="932"/>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Основание для разработки программы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Федеральный </w:t>
            </w:r>
            <w:hyperlink r:id="rId5" w:history="1">
              <w:r w:rsidRPr="007F425D">
                <w:rPr>
                  <w:rFonts w:ascii="Times New Roman" w:hAnsi="Times New Roman" w:cs="Times New Roman"/>
                  <w:sz w:val="28"/>
                  <w:szCs w:val="28"/>
                </w:rPr>
                <w:t>закон</w:t>
              </w:r>
            </w:hyperlink>
            <w:r w:rsidRPr="007F425D">
              <w:rPr>
                <w:rFonts w:ascii="Times New Roman" w:hAnsi="Times New Roman" w:cs="Times New Roman"/>
                <w:sz w:val="28"/>
                <w:szCs w:val="28"/>
              </w:rPr>
              <w:t xml:space="preserve"> от 30 декабря 2012 года № 289-ФЗ «О внесении изменений в Градостроительный кодекс Российской Федерации и отдельные законодательные акты Российской Федерации»,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Градостроительный </w:t>
            </w:r>
            <w:hyperlink r:id="rId6" w:history="1">
              <w:r w:rsidRPr="007F425D">
                <w:rPr>
                  <w:rFonts w:ascii="Times New Roman" w:hAnsi="Times New Roman" w:cs="Times New Roman"/>
                  <w:sz w:val="28"/>
                  <w:szCs w:val="28"/>
                </w:rPr>
                <w:t>кодекс</w:t>
              </w:r>
            </w:hyperlink>
            <w:r w:rsidRPr="007F425D">
              <w:rPr>
                <w:rFonts w:ascii="Times New Roman" w:hAnsi="Times New Roman" w:cs="Times New Roman"/>
                <w:sz w:val="28"/>
                <w:szCs w:val="28"/>
              </w:rPr>
              <w:t xml:space="preserve"> Российской Федерации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hyperlink r:id="rId7" w:history="1">
              <w:r w:rsidRPr="007F425D">
                <w:rPr>
                  <w:rFonts w:ascii="Times New Roman" w:hAnsi="Times New Roman" w:cs="Times New Roman"/>
                  <w:sz w:val="28"/>
                  <w:szCs w:val="28"/>
                </w:rPr>
                <w:t>постановление</w:t>
              </w:r>
            </w:hyperlink>
            <w:r w:rsidRPr="007F425D">
              <w:rPr>
                <w:rFonts w:ascii="Times New Roman" w:hAnsi="Times New Roman" w:cs="Times New Roman"/>
                <w:sz w:val="28"/>
                <w:szCs w:val="28"/>
              </w:rPr>
              <w:t xml:space="preserve">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hyperlink r:id="rId8" w:history="1">
              <w:r w:rsidRPr="007F425D">
                <w:rPr>
                  <w:rFonts w:ascii="Times New Roman" w:hAnsi="Times New Roman" w:cs="Times New Roman"/>
                  <w:sz w:val="28"/>
                  <w:szCs w:val="28"/>
                </w:rPr>
                <w:t>Приказ</w:t>
              </w:r>
            </w:hyperlink>
            <w:r w:rsidRPr="007F425D">
              <w:rPr>
                <w:rFonts w:ascii="Times New Roman" w:hAnsi="Times New Roman" w:cs="Times New Roman"/>
                <w:sz w:val="28"/>
                <w:szCs w:val="28"/>
              </w:rPr>
              <w:t xml:space="preserve">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tc>
      </w:tr>
      <w:tr w:rsidR="008B6C17" w:rsidRPr="007F425D">
        <w:trPr>
          <w:trHeight w:val="707"/>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Заказчик-координатор программы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Администрация Волчанского городского округа</w:t>
            </w:r>
          </w:p>
        </w:tc>
      </w:tr>
      <w:tr w:rsidR="008B6C17" w:rsidRPr="007F425D">
        <w:trPr>
          <w:trHeight w:val="713"/>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Разработчик программы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Администрация Волчанского городского округа,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муниципальное казенное учреждение «Управление городского хозяйства»,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Общество с ограниченной ответственностью «Север» (далее – ООО «Север»), муниципальное унитарное предприятие «Водоканал» (далее - МУП «Водоканал»), муниципальное унитарное предприятие «Волчанский теплоэнергетический комплекс»(далее - МУП «ВТЭК»), муниципальное унитарное предприятие  Волчанский автоэлектротранспорт» (далее - МУП «ВАЭТ»).</w:t>
            </w:r>
          </w:p>
        </w:tc>
      </w:tr>
      <w:tr w:rsidR="008B6C17" w:rsidRPr="007F425D">
        <w:trPr>
          <w:trHeight w:val="713"/>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Ответственный исполнитель</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Администрация Волчанского городского округа</w:t>
            </w:r>
          </w:p>
        </w:tc>
      </w:tr>
      <w:tr w:rsidR="008B6C17" w:rsidRPr="007F425D">
        <w:trPr>
          <w:trHeight w:val="713"/>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Соисполнители программы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Муниципальное казенное учреждение «Управление городского хозяйства»,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ООО «Север», МУП «Водоканал», МУП «ВТЭК», МУП «ВАЭТ»</w:t>
            </w:r>
          </w:p>
        </w:tc>
      </w:tr>
      <w:tr w:rsidR="008B6C17" w:rsidRPr="007F425D">
        <w:trPr>
          <w:trHeight w:val="400"/>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Цели и  задачи программы              </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Цели программы:</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1. Строительство и реконструкция систем коммунальной инфраструктуры. Определить количество и стоимость строительства и модернизации сетей и сооружений инженерно-технического обеспечения на основании:</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 документов территориального планирования; </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программ развития Волчанского городского округа;</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мероприятий по развитию систем коммунальной инфраструктуры организаций коммунального комплекса Волчанского городского округа.</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2. Обеспечение жителей города надёжными и качественными услугами теплоснабжения, водоснабжения, водоотведения, утилизации (захоронения) твердых бытовых отходов, электроснабжения и газоснабжения. </w:t>
            </w:r>
          </w:p>
          <w:p w:rsidR="008B6C17" w:rsidRPr="007F425D" w:rsidRDefault="008B6C17" w:rsidP="007F425D">
            <w:pPr>
              <w:tabs>
                <w:tab w:val="left" w:pos="403"/>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3. Повышение надежности теплоснабжения, водоснабжения, электроснабжения, газоснабжения и водоотведения и качества коммунальных услуг.</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4. Улучшение экологической ситуации на территории Волчанского городского округа с учетом достижения нормативов допустимого воздействия на окружающую среду при эксплуатации систем коммунальной инфраструктуры.</w:t>
            </w:r>
          </w:p>
          <w:p w:rsidR="008B6C17" w:rsidRPr="007F425D" w:rsidRDefault="008B6C17" w:rsidP="007F425D">
            <w:pPr>
              <w:tabs>
                <w:tab w:val="left" w:pos="403"/>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5. Приведение в соответствие системы коммунальной инфраструктуры потребностям жилищного и промышленного строительства.</w:t>
            </w:r>
          </w:p>
          <w:p w:rsidR="008B6C17" w:rsidRPr="007F425D" w:rsidRDefault="008B6C17" w:rsidP="007F425D">
            <w:pPr>
              <w:tabs>
                <w:tab w:val="left" w:pos="403"/>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Задачи программы:</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caps/>
                <w:sz w:val="28"/>
                <w:szCs w:val="28"/>
              </w:rPr>
              <w:t>1. О</w:t>
            </w:r>
            <w:r w:rsidRPr="007F425D">
              <w:rPr>
                <w:rFonts w:ascii="Times New Roman" w:hAnsi="Times New Roman" w:cs="Times New Roman"/>
                <w:sz w:val="28"/>
                <w:szCs w:val="28"/>
              </w:rPr>
              <w:t>пределение сроков освоения планировочных участков Волчанского городского округа до 2030 года.</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caps/>
                <w:sz w:val="28"/>
                <w:szCs w:val="28"/>
              </w:rPr>
              <w:t>2. о</w:t>
            </w:r>
            <w:r w:rsidRPr="007F425D">
              <w:rPr>
                <w:rFonts w:ascii="Times New Roman" w:hAnsi="Times New Roman" w:cs="Times New Roman"/>
                <w:sz w:val="28"/>
                <w:szCs w:val="28"/>
              </w:rPr>
              <w:t>пределение объемов жилой застройки в намеченных к освоению до 2030 года планировочных участках.</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caps/>
                <w:sz w:val="28"/>
                <w:szCs w:val="28"/>
              </w:rPr>
              <w:t>3. о</w:t>
            </w:r>
            <w:r w:rsidRPr="007F425D">
              <w:rPr>
                <w:rFonts w:ascii="Times New Roman" w:hAnsi="Times New Roman" w:cs="Times New Roman"/>
                <w:sz w:val="28"/>
                <w:szCs w:val="28"/>
              </w:rPr>
              <w:t>пределение потребности объемов и стоимости строительства и реконструкции сетей и сооружений инженерно-технического обеспечения в том числе:</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определение сетей и объектов инженерно-технического обеспечения, а также сроки их проектирования и строительства, в соответствии со сроками освоения перспективных участков;</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определение стоимости строительства по укрупненным показателям;</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определение объектов инженерно-технического обеспечения требуемых модернизации.</w:t>
            </w:r>
          </w:p>
          <w:p w:rsidR="008B6C17" w:rsidRPr="007F425D" w:rsidRDefault="008B6C17" w:rsidP="007F425D">
            <w:pPr>
              <w:widowControl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4. Определение мероприятий по улучшению качества услуг организации, эксплуатирующей объекты по размещению ТБО.</w:t>
            </w:r>
          </w:p>
        </w:tc>
      </w:tr>
      <w:tr w:rsidR="008B6C17" w:rsidRPr="007F425D">
        <w:trPr>
          <w:trHeight w:val="400"/>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Важнейшие целевые</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показатели</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1 сокращение аварийности в системах коммунальной инфраструктуры;</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2 сокращение потерь в системах коммунальной инфраструктуры;</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3 сокращение износа систем коммунальной инфраструктуры;</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4 сокращение удельного веса сетей коммунальной инфраструктуры, нуждающихся в замене;</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5 сокращение количества несанкционированных свалок;</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6 количество объектов размещения отходов на территории Волчанского городского округа, удовлетворяющих потребности населения и соответствующие допустимому воздействию на окружающую среду.</w:t>
            </w:r>
          </w:p>
        </w:tc>
      </w:tr>
      <w:tr w:rsidR="008B6C17" w:rsidRPr="007F425D">
        <w:trPr>
          <w:trHeight w:val="400"/>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Сроки и этапы реализации программы    </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2015-2030 годы,</w:t>
            </w:r>
          </w:p>
          <w:p w:rsidR="008B6C17" w:rsidRPr="007F425D" w:rsidRDefault="008B6C17" w:rsidP="007F425D">
            <w:pPr>
              <w:tabs>
                <w:tab w:val="left" w:pos="720"/>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этап (первая очередь) – 2015 год,</w:t>
            </w:r>
          </w:p>
          <w:p w:rsidR="008B6C17" w:rsidRPr="007F425D" w:rsidRDefault="008B6C17" w:rsidP="007F425D">
            <w:pPr>
              <w:tabs>
                <w:tab w:val="left" w:pos="720"/>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этап (расчетный срок) - 2025 год,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этап  – прогноз на 25-30 лет, перспектива</w:t>
            </w:r>
          </w:p>
        </w:tc>
      </w:tr>
      <w:tr w:rsidR="008B6C17" w:rsidRPr="007F425D">
        <w:trPr>
          <w:trHeight w:val="841"/>
          <w:tblCellSpacing w:w="5" w:type="nil"/>
        </w:trPr>
        <w:tc>
          <w:tcPr>
            <w:tcW w:w="3720" w:type="dxa"/>
            <w:tcBorders>
              <w:top w:val="single" w:sz="4" w:space="0" w:color="auto"/>
              <w:left w:val="single" w:sz="8" w:space="0" w:color="auto"/>
              <w:bottom w:val="single" w:sz="4" w:space="0" w:color="auto"/>
              <w:right w:val="single" w:sz="8"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Объемы финансирования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программы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tc>
        <w:tc>
          <w:tcPr>
            <w:tcW w:w="5352" w:type="dxa"/>
            <w:tcBorders>
              <w:top w:val="single" w:sz="4" w:space="0" w:color="auto"/>
              <w:left w:val="single" w:sz="8" w:space="0" w:color="auto"/>
              <w:bottom w:val="single" w:sz="4" w:space="0" w:color="auto"/>
              <w:right w:val="single" w:sz="8"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По предварительным прогнозам, на реализацию мероприятий программы до 2030 года необходимы объемы требуемых капитальных вложений в размере 501200,9 тыс. руб., в том числе по системам:</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теплоснабжения – 86248,0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водоснабжения – 26360,0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водоотведения – 42830,0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электроснабжения - 0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газоснабжения – 234028,86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система обращения с ТБО – 13096,0 тыс. руб.;</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мероприятия по энергосбережению – 98638,0 тыс. руб. Источники финансирования:</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средства организаций коммунального комплекса;</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местный бюджет;</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r w:rsidRPr="007F425D">
              <w:rPr>
                <w:rFonts w:ascii="Times New Roman" w:hAnsi="Times New Roman" w:cs="Times New Roman"/>
                <w:sz w:val="28"/>
                <w:szCs w:val="28"/>
              </w:rPr>
              <w:t>- областной бюджет.</w:t>
            </w:r>
          </w:p>
        </w:tc>
      </w:tr>
      <w:tr w:rsidR="008B6C17" w:rsidRPr="007F425D">
        <w:trPr>
          <w:trHeight w:val="600"/>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Ожидаемые результаты</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В результате реализации программы ожидается:</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1. Строительство 3 блочных  газовых котельных  (2- южная часть, 1 –северная часть);</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2. строительство 1,2 км новых сетей теплоснабжения к жилым домам без центрального теплоснабжения, модернизация  участков сетей теплоснабжения 35 км.</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3. Модернизация водопроводных сетей 15 км., модернизация насосного оборудования водозаборах, строительство сетей водоснабжения 1,5 км.</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4. Модернизация сетей канализации 8 км, строительство коллекторов ливневой и бытовой канализации, модернизация систем обеззараживания сточных вод, модернизация напорных и самотечных коллекторов.</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5. Строительство сетей газоснабжения, ввод не менее 63 км сетей газоснабжения.</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6. Строительство полигона утилизации твердых бытовых отходов.</w:t>
            </w:r>
          </w:p>
        </w:tc>
      </w:tr>
      <w:tr w:rsidR="008B6C17" w:rsidRPr="007F425D">
        <w:trPr>
          <w:trHeight w:val="600"/>
          <w:tblCellSpacing w:w="5" w:type="nil"/>
        </w:trPr>
        <w:tc>
          <w:tcPr>
            <w:tcW w:w="37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Адрес размещения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программы в сети Интернет              </w:t>
            </w:r>
          </w:p>
        </w:tc>
        <w:tc>
          <w:tcPr>
            <w:tcW w:w="535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8"/>
                <w:szCs w:val="28"/>
              </w:rPr>
            </w:pPr>
            <w:r w:rsidRPr="007F425D">
              <w:rPr>
                <w:rFonts w:ascii="Times New Roman" w:hAnsi="Times New Roman" w:cs="Times New Roman"/>
                <w:sz w:val="28"/>
                <w:szCs w:val="28"/>
                <w:lang w:val="en-US"/>
              </w:rPr>
              <w:t>admvolchansk</w:t>
            </w:r>
            <w:r w:rsidRPr="007F425D">
              <w:rPr>
                <w:rFonts w:ascii="Times New Roman" w:hAnsi="Times New Roman" w:cs="Times New Roman"/>
                <w:sz w:val="28"/>
                <w:szCs w:val="28"/>
              </w:rPr>
              <w:t>.</w:t>
            </w:r>
            <w:r w:rsidRPr="007F425D">
              <w:rPr>
                <w:rFonts w:ascii="Times New Roman" w:hAnsi="Times New Roman" w:cs="Times New Roman"/>
                <w:sz w:val="28"/>
                <w:szCs w:val="28"/>
                <w:lang w:val="en-US"/>
              </w:rPr>
              <w:t>ru</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tc>
      </w:tr>
    </w:tbl>
    <w:p w:rsidR="008B6C17" w:rsidRPr="007F425D" w:rsidRDefault="008B6C17" w:rsidP="007F425D">
      <w:pPr>
        <w:spacing w:line="240" w:lineRule="auto"/>
        <w:jc w:val="center"/>
        <w:rPr>
          <w:rFonts w:ascii="Times New Roman" w:hAnsi="Times New Roman" w:cs="Times New Roman"/>
          <w:sz w:val="28"/>
          <w:szCs w:val="28"/>
        </w:rPr>
      </w:pPr>
    </w:p>
    <w:p w:rsidR="008B6C17" w:rsidRPr="007F425D" w:rsidRDefault="008B6C17" w:rsidP="007F425D">
      <w:pPr>
        <w:spacing w:line="240" w:lineRule="auto"/>
        <w:jc w:val="center"/>
        <w:rPr>
          <w:rFonts w:ascii="Times New Roman" w:hAnsi="Times New Roman" w:cs="Times New Roman"/>
          <w:sz w:val="28"/>
          <w:szCs w:val="28"/>
        </w:rPr>
      </w:pPr>
      <w:r w:rsidRPr="007F425D">
        <w:rPr>
          <w:rFonts w:ascii="Times New Roman" w:hAnsi="Times New Roman" w:cs="Times New Roman"/>
          <w:sz w:val="28"/>
          <w:szCs w:val="28"/>
        </w:rPr>
        <w:t>РАЗДЕЛ 1 «ХАРАКТЕРИСТИКА СУЩЕСТВУЮЩЕГО СОСТОЯНИЯ СИСТЕМ КОММУНАЛЬНОЙ ИНФРАСТРУКТУРЫ»</w:t>
      </w:r>
    </w:p>
    <w:p w:rsidR="008B6C17" w:rsidRPr="007F425D" w:rsidRDefault="008B6C17" w:rsidP="007F425D">
      <w:pPr>
        <w:spacing w:line="240" w:lineRule="auto"/>
        <w:jc w:val="center"/>
        <w:rPr>
          <w:rFonts w:ascii="Times New Roman" w:hAnsi="Times New Roman" w:cs="Times New Roman"/>
          <w:sz w:val="28"/>
          <w:szCs w:val="28"/>
        </w:rPr>
      </w:pPr>
      <w:r w:rsidRPr="007F425D">
        <w:rPr>
          <w:rFonts w:ascii="Times New Roman" w:hAnsi="Times New Roman" w:cs="Times New Roman"/>
          <w:sz w:val="28"/>
          <w:szCs w:val="28"/>
        </w:rPr>
        <w:t>1.1 СИСТЕМА ТЕПЛОСНАБЖЕНИЯ</w:t>
      </w:r>
    </w:p>
    <w:p w:rsidR="008B6C17" w:rsidRPr="007F425D" w:rsidRDefault="008B6C17" w:rsidP="007F425D">
      <w:pPr>
        <w:pStyle w:val="Default"/>
        <w:ind w:firstLine="709"/>
        <w:jc w:val="both"/>
        <w:rPr>
          <w:sz w:val="28"/>
          <w:szCs w:val="28"/>
        </w:rPr>
      </w:pPr>
      <w:r w:rsidRPr="007F425D">
        <w:rPr>
          <w:sz w:val="28"/>
          <w:szCs w:val="28"/>
        </w:rPr>
        <w:t xml:space="preserve">Волчанский городской округ включает в себя три изолированных системы централизованного теплоснабжения, а именно системы теплоснабжения северной, южной части города Волчанска и поселка Вьюжный. </w:t>
      </w:r>
    </w:p>
    <w:p w:rsidR="008B6C17" w:rsidRPr="007F425D" w:rsidRDefault="008B6C17" w:rsidP="007F425D">
      <w:pPr>
        <w:pStyle w:val="Default"/>
        <w:ind w:firstLine="709"/>
        <w:jc w:val="both"/>
        <w:rPr>
          <w:sz w:val="28"/>
          <w:szCs w:val="28"/>
        </w:rPr>
      </w:pPr>
      <w:r w:rsidRPr="007F425D">
        <w:rPr>
          <w:sz w:val="28"/>
          <w:szCs w:val="28"/>
        </w:rPr>
        <w:t xml:space="preserve">Источником теплоснабжения северной части г. Волчанска является ведомственная котельная Волчанского механического завода филиала АО "НПК "Уралвагонзавод" (далее – Котельная ВМЗ). Котельная расположена в производственной зоне Волчанского механического завода и обеспечивает производство и транспорт тепла по тепловым сетям для собственных производственных нужд и теплоснабжения северной части города Волчанска. Передачу от производственных тепловых сетей до потребителей соцкультбыта, жилого фонда и прочих потребителей осуществляет ООО «Север». На границе балансовой принадлежности располагается центральный тепловой пункт (ЦТП), находящийся в аренде ООО «Север». </w:t>
      </w:r>
    </w:p>
    <w:p w:rsidR="008B6C17" w:rsidRPr="007F425D" w:rsidRDefault="008B6C17" w:rsidP="007F425D">
      <w:pPr>
        <w:pStyle w:val="Default"/>
        <w:jc w:val="both"/>
        <w:rPr>
          <w:sz w:val="28"/>
          <w:szCs w:val="28"/>
        </w:rPr>
      </w:pPr>
      <w:r w:rsidRPr="007F425D">
        <w:rPr>
          <w:sz w:val="28"/>
          <w:szCs w:val="28"/>
        </w:rPr>
        <w:t>Теплоснабжение южной части г. Волчанска и пос. Вьюжный осуществляет МУП «Волчанский теплоэнергетический комплекс» (МУП «ВТЭК»). Котельные и тепловые сети находятся в хозяйственном ведении МУП «ВТЭК». Также на территории пос. Вьюжный функционирует ведомственная котельная ОАО «Волчанское», вырабатывающая тепловую энергию на отопление производственных помещений и объектов соцкультбыта поселка.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Частный жилой фонд использует для собственных нужд индивидуальные источники тепловой энергии. На территории городского округа действуют две ведомственные котельные: котельная ВМЗ и ОАО «Волчанское».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южной части города Волчанска преобладает малоэтажная и индивидуальная частная застройка. В северной части города расположена большая часть многоквартирных домов. Застройка и расселение города Волчанска обусловлено историческими особенностями города.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источники комбинированной выработки тепловой и электрической энергии отсутствуют.</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южной части города</w:t>
      </w:r>
    </w:p>
    <w:p w:rsidR="008B6C17" w:rsidRPr="007F425D" w:rsidRDefault="008B6C17" w:rsidP="007F425D">
      <w:pPr>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Котельная МУП «Волчанский теплоэнергетический комплекс», г.Волчанск.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Котельная расположена по адресу г. Волчанск, ул. Физкультурная, 19. Эксплуатацию котельной осуществляет МУП «ВТЭК».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Котельная МУП «ВТЭК» запущена в эксплуатацию в марте 1991 года. Установленная тепловая мощность, согласно предоставленным данным составляет 29,19 Гкал/ч. Ограничения по использованию мощности отсутствуют.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Основным топливом для котельной служит природный газ. ГРУ располагается в здании котельной. В качестве аварийного топлива предусмотрено дизельное топливо.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котельной расположено 3 паровых котла ДЕ16-14ГМ. Мощность каждого котла составляет 9,73 Гкал/ч. На трубной части котлов №1 и №2 проведены капитальные ремонты. Согласно проведенной экспертизе промышленной безопасности разрешена эксплуатация котлов до 2017 года с последующим освидетельствованием. Котлы №1 и №2 находятся в исправном состоянии. Котел № 3 прошел модернизацию и находится на стадии промышленной экспертизы. Регламентные работы проводятся согласно графикам и выполняются в полном объеме.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Источником водоснабжения котельной является артезианская скважина, резервный источник - городской водопровод. Система химводоочистки котельной двухступенчатое Na-катионирование. В котельной установлены два деаэратора, фильтры первой ступени и фильтры второй ступени Na-катионирования. Регенерация фильтров проводится раствором NaCl (соль).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выходе из котлов пар температурой 170С поступает на пароводяные теплообменные аппараты. В котельной установлены 4 водоподогревателя двух модификаций: ПП1-53-7-II и ПВ1 273x4-г-1,0-2. Теплоноситель (горячая вода) используется в тепловой сети Южной части города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Схема теплоснабжения независимая с теплообменником на котельной, закрытая. Горячее водоснабжение организовано отдельным контуром.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Температурный график работы котельной – 95/70°С.</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Потребителей, получающих тепловую энергию с коллекторов котельной – нет.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котельной организован учет газа, электрической энергии и воды. Узел учета тепловой энергии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Информация по отказам и авариям на котельной МУП «ВТЭК» отсутствует.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 котельной проложено 12994,7 м тепловых сетей и 500 м сетей ГВС в двухтрубном исчислении. Изоляция трубопроводов выполнена минеральной ватой, частично ППУ. В некоторых местах изоляция нарушена, либо отсутствует.</w:t>
      </w:r>
      <w:bookmarkStart w:id="1" w:name="Par563"/>
      <w:bookmarkEnd w:id="1"/>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Источником тепловой энергии южной части города Волчанска является котельная МУП «ВТЭК». Тепловые сети и сети ГВС от котельной числится на балансе Администрации Волчанского городского округа, и находятся в ведении МУП «ВТЭК». На момент актуализации схемы теплоснабжения бесхозяйственных сетей в южной части города не числится. По данным МУП «ВТЭК» потери через изоляцию в сетях от ЦТП составляют 8,6%.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 системе теплоснабжения южной части города Волчанска подключены объекты жилого фонда, СКБ и прочие юридические лица. Общая протяженность тепловых сетей южной части города Волчанска составляет 12994,7 м в двухтрубном исчислении. Протяженность сетей ГВС составляет 500 м в двухтрубном исчислении.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Большинство труб проложено подземным канальным способом. Тепловая изоляция на надземных трубопроводах выполнена минеральной ватой, частично – изолоном ППЭ фольгированным с покровным слоем из рубероида, стеклоткани и кровельного железа. Тепловая изоляция на подземных трубопроводах выполнена минеральной ватой, частично – изолоном ППЭ фольгированным с покровным слоем из рубероида. На подземных трубопроводах наблюдается уплотнение изоляции, сползание, увлажнение изоляции, вызванные периодическим затоплением дождевыми и паводковыми водами.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и сетей ГВС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Узлы коммерческого учета тепловой энергии и ГВС установлены у потребителей. Преимущественно УКУТЭ установлены у потребителей бюджетной сферы. Информации об авариях, отказах в системе централизованного теплоснабжения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hd w:val="clear" w:color="auto" w:fill="FFFFFF"/>
        <w:spacing w:after="0" w:line="240" w:lineRule="auto"/>
        <w:ind w:right="-95"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поселка «Вьюжный»</w:t>
      </w:r>
    </w:p>
    <w:p w:rsidR="008B6C17" w:rsidRPr="007F425D" w:rsidRDefault="008B6C17" w:rsidP="007F425D">
      <w:pPr>
        <w:shd w:val="clear" w:color="auto" w:fill="FFFFFF"/>
        <w:spacing w:after="0" w:line="240" w:lineRule="auto"/>
        <w:ind w:right="-95"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Котельная МУП «Волчанский теплоэнергетический комплекс», п. Вьюжный.</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Поселок Вьюжный расположен в 3 км к северу от города Волчанска. Котельная МУП «ВТЭК» является муниципальной и расположена по адресу: п. Вьюжный, ул. Западная. Запуск котельной осуществлен в 1971 году.</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Основным топливом для котельной служит бурый уголь. В качестве резервного топлива используются дрова. В связи с закрытием Волчанского угольного разреза котельная преимущественно работает на дровах.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расположены три водогрейных котла: КВСа/КВСр-1,0 ГС/0,8К» Луга-Бм», КВр-0,63КД и КВр-1,44КД. Установленная мощность котельной составляет 2,48 Гкал/ч. Водогрейные котлы используются исключительно для нужд теплоснабжения.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Потери котельной на собственные нужды составляют 2,6%, потери через изоляцию тепловых сетей – 11,8%. Ограничения по использованию мощности отсутствуют.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Вода для нужд котельной используется из собственной скважины, резервный источник – центральный водопровод п. Вьюжный. Водоподготовка исходной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Схема теплоснабжения зависимая, закрытая, теплообменное оборудование отсутствует. Горячее водоснабжение отсутствует.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Температурный график работы котельной аналогичен температурному графику котельной МУП «ВТЭК» г. Волчанска – 95/70°С.</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В котельной установлены счетчики воды и электрической энергии. Учет тепловой энергии не осуществляется.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Информация по отказам и авариям на котельной МУП «ВТЭК» п. Вьюжный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От котельной проложено 1269 м тепловых сетей в двухтрубном исчислении. Изоляция трубопроводов выполнена минеральной ватой. В некоторых местах изоляция нарушена, либо отсутствует.</w:t>
      </w:r>
    </w:p>
    <w:p w:rsidR="008B6C17" w:rsidRPr="007F425D" w:rsidRDefault="008B6C17" w:rsidP="007F425D">
      <w:pPr>
        <w:pStyle w:val="BodyTextIndent"/>
        <w:ind w:firstLine="709"/>
        <w:jc w:val="both"/>
        <w:rPr>
          <w:rFonts w:ascii="Times New Roman" w:hAnsi="Times New Roman" w:cs="Times New Roman"/>
          <w:b/>
          <w:bCs/>
        </w:rPr>
      </w:pPr>
      <w:r w:rsidRPr="007F425D">
        <w:rPr>
          <w:rFonts w:ascii="Times New Roman" w:hAnsi="Times New Roman" w:cs="Times New Roman"/>
          <w:b/>
          <w:bCs/>
        </w:rPr>
        <w:t>Котельная ОАО «Волчанское», п. Вьюжный.</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Котельная ОАО «Волчанское» является ведомственной и расположена в юго-восточной части п. Вьюжный. Запуск котельной в эксплуатацию осуществлен в 1978 году.</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Основным топливом для котельной служит бурый уголь. В качестве резервного топлива используются дрова. В связи с низким качеством угля и закрытием Волчанского угольного разреза котельная работает на дровах.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расположены два водогрейных котла марки Энергия-3. Установленная мощность котельной составляет 0,508 Гкал/ч. Водогрейные котлы используются для нужд теплоснабжения производственных объектов, магазина и дома культуры.</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Потери котельной на собственные нужды составляют 2%, потери через изоляцию тепловых сетей – 6%. Ограничения по использованию мощности отсутствуют.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Вода для нужд котельной используется из собственной скважины. Резервный источник водоснабжения отсутствует. Водоподготовка исходной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Схема теплоснабжения зависимая, закрытая, теплообменное оборудование отсутствует. Горячее водоснабжение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Температурный график работы котельной аналогичен температурному графику котельной МУП «ВТЭК» г. Волчанска – 95/70°С.</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установлен счетчик электрической энергии. Учет тепловой энергии и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Источниками центрального теплоснабжения в поселке Вьюжном являются две котельные: муниципальная котельная МУП «ВТЭК» и ведомственная котельная ОАО «Волчанское». Централизованное ГВС в поселке Вьюжном отсутствует. Тепловые сети от котельной МУП «ВТЭК» числится на балансе Администрации Волчанского городского округа, и находятся в ведении МУП «ВТЭК». Тепловые сети от котельной ОАО «Волчанское» являются собственностью ОАО «Волчанское». На момент актуализации схемы теплоснабжения бесхозяйственных сетей в поселке Вьюжном не числится. По данным МУП «ВТЭК» потери через изоляцию в сетях от котельной составляют 11,8%, а по данным ОАО «Волчанское» потери через изоляцию в сетях составляют 6%.</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К системам теплоснабжения поселка Вьюжный подключены объекты жилого фонда, СКБ и прочие юридические лица. Общая протяженность тепловых сетей поселка Вьюжный составляет: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 от котельной МУП «ВТЭК» - 1269,4 м в двухтрубном исчислении.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 от котельной ОАО «Волчанское» - 385 м (Ду 100) в двухтрубном исчислении.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Большинство труб проложено подземным способом. Тепловая изоляция на надземных трубопроводах выполнена минеральной ватой, частично – ППУ. Тепловая изоляция на подземных трубопроводах выполнена минеральной ватой.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Информации об авариях, отказах в системе централизованного теплоснабжения отсутствует.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Узлы коммерческого учета тепловой энергии у потребителей отсутствуют.</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северной части города</w:t>
      </w:r>
    </w:p>
    <w:p w:rsidR="008B6C17" w:rsidRPr="007F425D" w:rsidRDefault="008B6C17" w:rsidP="007F425D">
      <w:pPr>
        <w:spacing w:after="0" w:line="240" w:lineRule="auto"/>
        <w:ind w:firstLine="709"/>
        <w:jc w:val="center"/>
        <w:rPr>
          <w:rFonts w:ascii="Times New Roman" w:hAnsi="Times New Roman" w:cs="Times New Roman"/>
          <w:sz w:val="28"/>
          <w:szCs w:val="28"/>
        </w:rPr>
      </w:pPr>
    </w:p>
    <w:p w:rsidR="008B6C17" w:rsidRPr="007F425D" w:rsidRDefault="008B6C17" w:rsidP="007F425D">
      <w:pPr>
        <w:pStyle w:val="Default"/>
        <w:ind w:firstLine="709"/>
        <w:jc w:val="both"/>
        <w:rPr>
          <w:sz w:val="28"/>
          <w:szCs w:val="28"/>
        </w:rPr>
      </w:pPr>
      <w:r w:rsidRPr="007F425D">
        <w:rPr>
          <w:b/>
          <w:bCs/>
          <w:sz w:val="28"/>
          <w:szCs w:val="28"/>
        </w:rPr>
        <w:t>Котельная Волчанского механического завода филиала АО «ПК «Уралвагонзавод», г. Волчанск.</w:t>
      </w:r>
    </w:p>
    <w:p w:rsidR="008B6C17" w:rsidRPr="007F425D" w:rsidRDefault="008B6C17" w:rsidP="007F425D">
      <w:pPr>
        <w:pStyle w:val="Default"/>
        <w:ind w:firstLine="709"/>
        <w:jc w:val="both"/>
        <w:rPr>
          <w:sz w:val="28"/>
          <w:szCs w:val="28"/>
        </w:rPr>
      </w:pPr>
      <w:r w:rsidRPr="007F425D">
        <w:rPr>
          <w:sz w:val="28"/>
          <w:szCs w:val="28"/>
        </w:rPr>
        <w:t>Котельная является ведомственной и расположена в Северной части города Волчанска на территории промышленной зоны Волчанского механического завода по адресу: г. Волчанск, ул. Первомайская, 14. Котельная запущена в эксплуатацию в 1985 году.</w:t>
      </w:r>
    </w:p>
    <w:p w:rsidR="008B6C17" w:rsidRPr="007F425D" w:rsidRDefault="008B6C17" w:rsidP="007F425D">
      <w:pPr>
        <w:pStyle w:val="Default"/>
        <w:ind w:firstLine="709"/>
        <w:jc w:val="both"/>
        <w:rPr>
          <w:color w:val="auto"/>
          <w:sz w:val="28"/>
          <w:szCs w:val="28"/>
        </w:rPr>
      </w:pPr>
      <w:r w:rsidRPr="007F425D">
        <w:rPr>
          <w:color w:val="auto"/>
          <w:sz w:val="28"/>
          <w:szCs w:val="28"/>
        </w:rPr>
        <w:t>Основным топливом для котельной служит природный газ. ГРП располагается в отдельно стоящем помещении. В качестве резервного топлива предусмотрено использование мазута.</w:t>
      </w:r>
    </w:p>
    <w:p w:rsidR="008B6C17" w:rsidRPr="007F425D" w:rsidRDefault="008B6C17" w:rsidP="007F425D">
      <w:pPr>
        <w:pStyle w:val="Default"/>
        <w:ind w:firstLine="709"/>
        <w:jc w:val="both"/>
        <w:rPr>
          <w:color w:val="auto"/>
          <w:sz w:val="28"/>
          <w:szCs w:val="28"/>
        </w:rPr>
      </w:pPr>
      <w:r w:rsidRPr="007F425D">
        <w:rPr>
          <w:color w:val="auto"/>
          <w:sz w:val="28"/>
          <w:szCs w:val="28"/>
        </w:rPr>
        <w:t>В котельной расположены три водогрейных котла ПТВМ-30М-4 установленной мощностью 35 Гкал/ч каждый. Водогрейные котлы используются для нужд теплоснабжения города и промышленных объектов завода. Также в котельной расположены два паровых котла ДКВР-4/13 установленной мощностью 5 Гкал/ч каждый. Согласно проведенной экспертизе промышленной безопасности разрешена эксплуатация котлов до 2017 года с последующим освидетельствованием. Паровые котлы в отопительный сезон используются для собственных нужд котельной, а в межотопительный сезон для подогрева ГВС на ЦТП ООО «Север». Все котлы исправны и участвуют в работе котельной.</w:t>
      </w:r>
    </w:p>
    <w:p w:rsidR="008B6C17" w:rsidRPr="007F425D" w:rsidRDefault="008B6C17" w:rsidP="007F425D">
      <w:pPr>
        <w:pStyle w:val="Default"/>
        <w:ind w:firstLine="709"/>
        <w:jc w:val="both"/>
        <w:rPr>
          <w:sz w:val="28"/>
          <w:szCs w:val="28"/>
        </w:rPr>
      </w:pPr>
      <w:r w:rsidRPr="007F425D">
        <w:rPr>
          <w:sz w:val="28"/>
          <w:szCs w:val="28"/>
        </w:rPr>
        <w:t xml:space="preserve">Установленная мощность котельной составляет 115 Гкал/ч. Потери котельной на собственные нужды составляют 7,4%, потери через изоляцию тепловых сетей – 9,8%. Ограничения по использованию мощности отсутствуют. </w:t>
      </w:r>
    </w:p>
    <w:p w:rsidR="008B6C17" w:rsidRPr="007F425D" w:rsidRDefault="008B6C17" w:rsidP="007F425D">
      <w:pPr>
        <w:pStyle w:val="Default"/>
        <w:ind w:firstLine="709"/>
        <w:jc w:val="both"/>
        <w:rPr>
          <w:sz w:val="28"/>
          <w:szCs w:val="28"/>
        </w:rPr>
      </w:pPr>
      <w:r w:rsidRPr="007F425D">
        <w:rPr>
          <w:sz w:val="28"/>
          <w:szCs w:val="28"/>
        </w:rPr>
        <w:t>Вода для нужд котельной используется из собственной скважины (имеется резервный источник водоснабжения) и дальше поступает в водоподготовительную установку. Установка осуществляет деаэрацию и очистку воды посредством двухступенчатого Na-катионирования. В котельной установлены два деаэратора (один резервный), четыре фильтра первой ступени и два фильтра второй ступени Na-катионирования. Регенерация фильтров проводится раствором NaCl (соль). Схема предусматривает нагрев исходной и химически очищенной воды в пароводяных подогревателях. Продувочная вода от всех котлов поступает в сепаратор пара непрерывной продувки, в котором поддерживается такое же давление, как и в деаэраторе. Пар из сепаратора отводится в паровое пространство деаэратора, а горячая вода поступает в водоводяной подогреватель для предварительного нагрева исходной воды. Далее продувочная вода сбрасывается в канализацию или поступает в бак подпиточной воды. Конденсат паровой сети, возвращенный от потребителей, подается насосом из конденсатного бака в деаэратор. В деаэратор поступает химически очищенная вода и конденсат пароводяного подогревателя химически очищенной воды. Сетевая вода подогревается последовательно в охладителе конденсата пароводяного подогревателя и в пароводяном подогревателе. На всех этапах преобразования воды используется насосное оборудование.</w:t>
      </w:r>
    </w:p>
    <w:p w:rsidR="008B6C17" w:rsidRPr="007F425D" w:rsidRDefault="008B6C17" w:rsidP="007F425D">
      <w:pPr>
        <w:pStyle w:val="Default"/>
        <w:ind w:firstLine="709"/>
        <w:jc w:val="both"/>
        <w:rPr>
          <w:sz w:val="28"/>
          <w:szCs w:val="28"/>
        </w:rPr>
      </w:pPr>
      <w:r w:rsidRPr="007F425D">
        <w:rPr>
          <w:sz w:val="28"/>
          <w:szCs w:val="28"/>
        </w:rPr>
        <w:t>Схема теплоснабжения зависимая, закрытая. Горячее водоснабжение отсутствует. К котельной подключен центральный тепловой пункт, который работает по индивидуальному температурному графику 130/95/70°С.</w:t>
      </w:r>
    </w:p>
    <w:p w:rsidR="008B6C17" w:rsidRPr="007F425D" w:rsidRDefault="008B6C17" w:rsidP="007F425D">
      <w:pPr>
        <w:pStyle w:val="Default"/>
        <w:ind w:firstLine="709"/>
        <w:jc w:val="both"/>
        <w:rPr>
          <w:sz w:val="28"/>
          <w:szCs w:val="28"/>
        </w:rPr>
      </w:pPr>
      <w:r w:rsidRPr="007F425D">
        <w:rPr>
          <w:sz w:val="28"/>
          <w:szCs w:val="28"/>
        </w:rPr>
        <w:t>В котельной осуществляется учет газа, воды и электрической энергии. Учет газа осуществляется вычислителем ТЭКОН-17 № 2994.</w:t>
      </w:r>
    </w:p>
    <w:p w:rsidR="008B6C17" w:rsidRPr="007F425D" w:rsidRDefault="008B6C17" w:rsidP="007F425D">
      <w:pPr>
        <w:pStyle w:val="Default"/>
        <w:ind w:firstLine="709"/>
        <w:jc w:val="both"/>
        <w:rPr>
          <w:sz w:val="28"/>
          <w:szCs w:val="28"/>
        </w:rPr>
      </w:pPr>
      <w:r w:rsidRPr="007F425D">
        <w:rPr>
          <w:sz w:val="28"/>
          <w:szCs w:val="28"/>
        </w:rPr>
        <w:t>Информация по отказам и авариям на котельной ВМЗ отсутствует.</w:t>
      </w:r>
    </w:p>
    <w:p w:rsidR="008B6C17" w:rsidRPr="007F425D" w:rsidRDefault="008B6C17" w:rsidP="007F425D">
      <w:pPr>
        <w:pStyle w:val="Default"/>
        <w:ind w:firstLine="709"/>
        <w:jc w:val="both"/>
        <w:rPr>
          <w:sz w:val="28"/>
          <w:szCs w:val="28"/>
        </w:rPr>
      </w:pPr>
      <w:r w:rsidRPr="007F425D">
        <w:rPr>
          <w:sz w:val="28"/>
          <w:szCs w:val="28"/>
        </w:rPr>
        <w:t>От котельной до ЦТП проложено 1460 м (всего сетей от котельной, не включая сети от ЦТП 1900 м) тепловых сетей в двухтрубном исчислении. Изоляция трубопроводов выполнена минеральной ватой. В некоторых местах изоляция нарушена, либо отсутствует. От ЦТП проложено 11492 м тепловых сетей в двухтрубном исчислении и 5782 м в двухтрубном исчислении сетей ГВС.</w:t>
      </w:r>
    </w:p>
    <w:p w:rsidR="008B6C17" w:rsidRPr="007F425D" w:rsidRDefault="008B6C17" w:rsidP="007F425D">
      <w:pPr>
        <w:pStyle w:val="Default"/>
        <w:ind w:firstLine="709"/>
        <w:jc w:val="both"/>
        <w:rPr>
          <w:sz w:val="28"/>
          <w:szCs w:val="28"/>
        </w:rPr>
      </w:pPr>
      <w:r w:rsidRPr="007F425D">
        <w:rPr>
          <w:sz w:val="28"/>
          <w:szCs w:val="28"/>
        </w:rPr>
        <w:t>От котельной Волчанского механического завода проложена двухтрубная тепловая сеть, снабжающая тепловой энергия объекты Волчанского механического завода и центральный тепловой пункт, который находится в аренде у ООО «Север». ЦТП располагается в отдельно стоящем здании по адресу: г. Волчанск, ул. Первомайская, 17а. Рядом расположена насосная станция теплоснабжения (НСТС). Объекты введены в эксплуатацию в 1994 году.</w:t>
      </w:r>
    </w:p>
    <w:p w:rsidR="008B6C17" w:rsidRPr="007F425D" w:rsidRDefault="008B6C17" w:rsidP="007F425D">
      <w:pPr>
        <w:pStyle w:val="Default"/>
        <w:ind w:firstLine="709"/>
        <w:jc w:val="both"/>
        <w:rPr>
          <w:sz w:val="28"/>
          <w:szCs w:val="28"/>
        </w:rPr>
      </w:pPr>
      <w:r w:rsidRPr="007F425D">
        <w:rPr>
          <w:sz w:val="28"/>
          <w:szCs w:val="28"/>
        </w:rPr>
        <w:t xml:space="preserve">Предприятие использует 2 вида теплоносителя от газомазутной котельной Волчанского механического завода: </w:t>
      </w:r>
    </w:p>
    <w:p w:rsidR="008B6C17" w:rsidRPr="007F425D" w:rsidRDefault="008B6C17" w:rsidP="007F425D">
      <w:pPr>
        <w:pStyle w:val="Default"/>
        <w:ind w:firstLine="709"/>
        <w:jc w:val="both"/>
        <w:rPr>
          <w:sz w:val="28"/>
          <w:szCs w:val="28"/>
        </w:rPr>
      </w:pPr>
      <w:r w:rsidRPr="007F425D">
        <w:rPr>
          <w:sz w:val="28"/>
          <w:szCs w:val="28"/>
        </w:rPr>
        <w:t xml:space="preserve">• в отопительный период – подогретую воду с расчётными параметрами 130/70С; </w:t>
      </w:r>
    </w:p>
    <w:p w:rsidR="008B6C17" w:rsidRPr="007F425D" w:rsidRDefault="008B6C17" w:rsidP="007F425D">
      <w:pPr>
        <w:pStyle w:val="Default"/>
        <w:ind w:firstLine="709"/>
        <w:jc w:val="both"/>
        <w:rPr>
          <w:sz w:val="28"/>
          <w:szCs w:val="28"/>
        </w:rPr>
      </w:pPr>
      <w:r w:rsidRPr="007F425D">
        <w:rPr>
          <w:sz w:val="28"/>
          <w:szCs w:val="28"/>
        </w:rPr>
        <w:t xml:space="preserve">• в межотопительный период пар температурой 100-110С и давлением до 1,0МПа. </w:t>
      </w:r>
    </w:p>
    <w:p w:rsidR="008B6C17" w:rsidRPr="007F425D" w:rsidRDefault="008B6C17" w:rsidP="007F425D">
      <w:pPr>
        <w:pStyle w:val="Default"/>
        <w:ind w:firstLine="709"/>
        <w:jc w:val="both"/>
        <w:rPr>
          <w:sz w:val="28"/>
          <w:szCs w:val="28"/>
        </w:rPr>
      </w:pPr>
      <w:r w:rsidRPr="007F425D">
        <w:rPr>
          <w:sz w:val="28"/>
          <w:szCs w:val="28"/>
        </w:rPr>
        <w:t>Процесс нагрева теплоносителя и ГВС реализуется по понижающему температурному графику 130/95/70С. Теплоноситель подаётся в ЦТП на теплообменные аппараты и нагревает теплоноситель во внешнем контуре с целью организации ГВС и отопления потребителей северной части города Волчанска. Для подпитки тепловых сетей отопления осуществляется отбор горячей воды из системы ГВС в бакиаккумуляторы (деаэраторы), её частичная атмосферная деаэрация и хранение запаса подпиточной воды. В летнее время при использовании пара образующийся конденсат собирается в конденсатном баке, с помощью конденсатного насоса закачивается в систему ГВС.</w:t>
      </w:r>
    </w:p>
    <w:p w:rsidR="008B6C17" w:rsidRPr="007F425D" w:rsidRDefault="008B6C17" w:rsidP="007F425D">
      <w:pPr>
        <w:pStyle w:val="Default"/>
        <w:ind w:firstLine="709"/>
        <w:jc w:val="both"/>
        <w:rPr>
          <w:sz w:val="28"/>
          <w:szCs w:val="28"/>
        </w:rPr>
      </w:pPr>
      <w:r w:rsidRPr="007F425D">
        <w:rPr>
          <w:sz w:val="28"/>
          <w:szCs w:val="28"/>
        </w:rPr>
        <w:t>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p>
    <w:p w:rsidR="008B6C17" w:rsidRPr="007F425D" w:rsidRDefault="008B6C17" w:rsidP="007F425D">
      <w:pPr>
        <w:pStyle w:val="Default"/>
        <w:ind w:firstLine="709"/>
        <w:jc w:val="both"/>
        <w:rPr>
          <w:sz w:val="28"/>
          <w:szCs w:val="28"/>
        </w:rPr>
      </w:pPr>
      <w:r w:rsidRPr="007F425D">
        <w:rPr>
          <w:sz w:val="28"/>
          <w:szCs w:val="28"/>
        </w:rPr>
        <w:t>Водоснабжение объекта для нужд подпитки сетей отопления, ГВС, бытовых нужд сотрудников предприятия осуществляется от хозяйственно-питьевого водопровода Волчанского механического завода по 2-м водопроводным вводам от одного источника водоснабжения. Диаметры водопроводных вводов – 100 мм. Имеется возможность подключения в течение 1 часа к системе хозяйственно-питьевого водопровода МУП «Водоканал». Химводоподготовка подпиточной воды не осуществляется, так как отсутствует водоподготовительная установка. Для хранения запаса подпиточной воды тепловых сетей в НСТС имеются:</w:t>
      </w:r>
    </w:p>
    <w:p w:rsidR="008B6C17" w:rsidRPr="007F425D" w:rsidRDefault="008B6C17" w:rsidP="007F425D">
      <w:pPr>
        <w:pStyle w:val="Default"/>
        <w:ind w:firstLine="709"/>
        <w:jc w:val="both"/>
        <w:rPr>
          <w:sz w:val="28"/>
          <w:szCs w:val="28"/>
        </w:rPr>
      </w:pPr>
      <w:r w:rsidRPr="007F425D">
        <w:rPr>
          <w:sz w:val="28"/>
          <w:szCs w:val="28"/>
        </w:rPr>
        <w:t>- 2 бака-аккумулятора (деаэраторы) ёмкостью по 12 м</w:t>
      </w:r>
      <w:r w:rsidRPr="007F425D">
        <w:rPr>
          <w:sz w:val="18"/>
          <w:szCs w:val="18"/>
        </w:rPr>
        <w:t xml:space="preserve">3 </w:t>
      </w:r>
      <w:r w:rsidRPr="007F425D">
        <w:rPr>
          <w:sz w:val="28"/>
          <w:szCs w:val="28"/>
        </w:rPr>
        <w:t xml:space="preserve">каждый; </w:t>
      </w:r>
    </w:p>
    <w:p w:rsidR="008B6C17" w:rsidRPr="007F425D" w:rsidRDefault="008B6C17" w:rsidP="007F425D">
      <w:pPr>
        <w:pStyle w:val="Default"/>
        <w:ind w:firstLine="709"/>
        <w:jc w:val="both"/>
        <w:rPr>
          <w:sz w:val="28"/>
          <w:szCs w:val="28"/>
        </w:rPr>
      </w:pPr>
      <w:r w:rsidRPr="007F425D">
        <w:rPr>
          <w:sz w:val="28"/>
          <w:szCs w:val="28"/>
        </w:rPr>
        <w:t>- 1 бак-аккумулятор (деаэратор) ёмкостью 15,7 м</w:t>
      </w:r>
      <w:r w:rsidRPr="007F425D">
        <w:rPr>
          <w:sz w:val="18"/>
          <w:szCs w:val="18"/>
        </w:rPr>
        <w:t>3</w:t>
      </w:r>
      <w:r w:rsidRPr="007F425D">
        <w:rPr>
          <w:sz w:val="28"/>
          <w:szCs w:val="28"/>
        </w:rPr>
        <w:t xml:space="preserve">. </w:t>
      </w:r>
    </w:p>
    <w:p w:rsidR="008B6C17" w:rsidRPr="007F425D" w:rsidRDefault="008B6C17" w:rsidP="007F425D">
      <w:pPr>
        <w:pStyle w:val="Default"/>
        <w:ind w:firstLine="709"/>
        <w:jc w:val="both"/>
        <w:rPr>
          <w:sz w:val="28"/>
          <w:szCs w:val="28"/>
        </w:rPr>
      </w:pPr>
      <w:r w:rsidRPr="007F425D">
        <w:rPr>
          <w:sz w:val="28"/>
          <w:szCs w:val="28"/>
        </w:rPr>
        <w:t>На границе балансовой принадлежности трубопроводов ЦТП и ВМЗ установлен узел коммерческого учета тепловой энергии (далее – УКУТЭ), осуществляющий учет тепловой энергии, потребленной от котельной. Помимо учета тепловой энергии в ЦТП ведется учет воды и электрической энергии. Также установлены УКУТЭ у потребителей, преимущественно у жилого фонда.</w:t>
      </w:r>
    </w:p>
    <w:p w:rsidR="008B6C17" w:rsidRPr="007F425D" w:rsidRDefault="008B6C17" w:rsidP="007F425D">
      <w:pPr>
        <w:pStyle w:val="Default"/>
        <w:ind w:firstLine="709"/>
        <w:jc w:val="both"/>
        <w:rPr>
          <w:sz w:val="28"/>
          <w:szCs w:val="28"/>
        </w:rPr>
      </w:pPr>
      <w:r w:rsidRPr="007F425D">
        <w:rPr>
          <w:sz w:val="28"/>
          <w:szCs w:val="28"/>
        </w:rPr>
        <w:t xml:space="preserve">Тепловая сеть от ЦТП числится на балансе Администрации Волчанского городского округа. Сети ГВС на момент актуализации схемы теплоснабжения числятся бесхозяйственными, имущество находится в процессе регистрации в собственность. Тепловая сеть и ГВС находятся в хозяйственном ведении ООО «Север». По данным ООО «Север» потери через изоляцию в сетях от ЦТП составляют 9,8%. </w:t>
      </w:r>
    </w:p>
    <w:p w:rsidR="008B6C17" w:rsidRPr="007F425D" w:rsidRDefault="008B6C17" w:rsidP="007F425D">
      <w:pPr>
        <w:pStyle w:val="Default"/>
        <w:ind w:firstLine="709"/>
        <w:jc w:val="both"/>
        <w:rPr>
          <w:sz w:val="28"/>
          <w:szCs w:val="28"/>
        </w:rPr>
      </w:pPr>
      <w:r w:rsidRPr="007F425D">
        <w:rPr>
          <w:sz w:val="28"/>
          <w:szCs w:val="28"/>
        </w:rPr>
        <w:t xml:space="preserve">Общая протяженность тепловых сетей от ЦТП северной части города Волчанска составляет 11492,4 м в двухтрубном исчислении. Протяженность сетей ГВС составляет 5782 м в двухтрубном исчислении. В связи с конфиденциальностью, информация об общей протяженности тепловых сетей, расположенных на территории Волчанского механического завода, отсутствует. </w:t>
      </w:r>
    </w:p>
    <w:p w:rsidR="008B6C17" w:rsidRPr="007F425D" w:rsidRDefault="008B6C17" w:rsidP="007F425D">
      <w:pPr>
        <w:pStyle w:val="Default"/>
        <w:ind w:firstLine="709"/>
        <w:jc w:val="both"/>
        <w:rPr>
          <w:spacing w:val="-11"/>
          <w:sz w:val="28"/>
          <w:szCs w:val="28"/>
        </w:rPr>
      </w:pPr>
      <w:r w:rsidRPr="007F425D">
        <w:rPr>
          <w:sz w:val="28"/>
          <w:szCs w:val="28"/>
        </w:rPr>
        <w:t>Большинство труб проложено подземным канальным способом. Тепловая изоляция на надземных трубопроводах выполнена минеральной ватой, частично – изолоном ППЭ фольгированным с покровным слоем из рубероида, стеклоткани и кровельного железа. Тепловая изоляция на подземных трубопроводах выполнена минеральной ватой, частично – изолоном ППЭ фольгированным с покровным слоем из рубероида. На подземных трубопроводах наблюдается уплотнение изоляции, сползание, увлажнение изоляции, вызванные периодическим затоплением дождевыми и паводковыми водами.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и сетей ГВС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Необходимая информация находится в разработанной схеме теплоснабжения, утвержденной постановлением главы Волчанского городского округа «Об утверждении схемы теплоснабжения Волчанского городского округа на период  с 2015 по 2030 год» от 20.07.2015 г. № 531.</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Надежность централизованного теплоснабжения Волчанского городского округа обеспечивается надежной работой всех элементов его системы, а также надежностью систем электро-, водо-, теплоснабжения источников тепловой энергии.</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к высоконадежным относится система теплоснабжения котельной МУП «ВТЭК», а к надежным относятся следующие системы теплоснабжения: котельной МУП «ВТЭК» п. Вьюжный, котельной ВМЗ и котельной ОАО «Волчанское. В городском округе отсутствуют малонадежные и ненадежные системы теплоснабжения.</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pacing w:val="-11"/>
          <w:sz w:val="28"/>
          <w:szCs w:val="28"/>
        </w:rPr>
      </w:pPr>
    </w:p>
    <w:p w:rsidR="008B6C17" w:rsidRPr="007F425D" w:rsidRDefault="008B6C17" w:rsidP="007F425D">
      <w:pPr>
        <w:spacing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1.2 СИСТЕМА ВОДОСНАБЖЕНИЯ</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Муниципальное унитарное предприятие «Водоканал» (МУП «Водоканал»), основанное на праве хозяйственного ведения, создано в соответствии с постановлением главы Волчанского городского округа от 29.03.2010 г. № 201  «О создании муниципального унитарного предприятия «Водоканал».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 это организация, осуществляющая услуги подъема, очистки и поставку питьевой воды в полном объеме населению, объектам социального назначения , промышленным и пищевым предприятиям, организациям и  прочим потребителям города Волчанск и поселка Вьюжный.</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Город обслуживает население г. Волчанска 9,8 тысяч жителей. поселок Вьюжный</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расположен в 3км севернее г. Волчанска на берегу река Березовка.  Численность населения поселка  Вьюжный   на</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данный период</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составляет 0,25</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тысяч человек.</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Структура системы водоснабжения  г. Волчанск зависит от многих факторов, из которых главными являются следующие: расположение, мощность  объектов водоснабжения, качество подаваемой питьевой воды МУП «Водоканал», состояние водопроводных магистральных и распределительных сетей, рельеф местности и кратность использования холодной  воды населением, промышленными и прочими объектами.</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Станция Лесная Волчанка с пристанционным поселком расположена в Карпинском районе Свердловской области и относится к Серовскому отделению Свердловской железной дороги. По административному делению относится к МО г. Волчанск, Свердловской области 25км.в полосе отвода.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У каждого населенного пункта Волчанского городского округа  отдельная структура системы водоснабжения. На рисунке 1. схематично изображена структура системы водоснабжения города Волчанска, на рисунке 1.1. схематично изображена структура системы водоснабжения станции Лесная Волчанка.</w:t>
      </w:r>
    </w:p>
    <w:p w:rsidR="008B6C17" w:rsidRPr="007F425D" w:rsidRDefault="008B6C17" w:rsidP="007F425D">
      <w:pPr>
        <w:pStyle w:val="PlainText"/>
        <w:tabs>
          <w:tab w:val="left" w:pos="1080"/>
        </w:tabs>
        <w:spacing w:line="240" w:lineRule="auto"/>
        <w:jc w:val="both"/>
        <w:rPr>
          <w:rFonts w:ascii="Times New Roman" w:hAnsi="Times New Roman" w:cs="Times New Roman"/>
          <w:sz w:val="28"/>
          <w:szCs w:val="28"/>
          <w:lang w:val="ru-RU"/>
        </w:rPr>
      </w:pPr>
    </w:p>
    <w:p w:rsidR="008B6C17" w:rsidRPr="007F425D" w:rsidRDefault="008B6C17" w:rsidP="007F425D">
      <w:pPr>
        <w:pStyle w:val="ConsPlusNormal"/>
        <w:widowControl/>
        <w:ind w:firstLine="540"/>
        <w:jc w:val="both"/>
        <w:rPr>
          <w:rFonts w:ascii="Times New Roman" w:hAnsi="Times New Roman" w:cs="Times New Roman"/>
          <w:b/>
          <w:bCs/>
          <w:color w:val="FF0000"/>
          <w:sz w:val="28"/>
          <w:szCs w:val="28"/>
        </w:rPr>
      </w:pPr>
      <w:r w:rsidRPr="0016042C">
        <w:rPr>
          <w:rFonts w:ascii="Times New Roman" w:hAnsi="Times New Roman" w:cs="Times New Roman"/>
          <w:b/>
          <w:bCs/>
          <w:noProof/>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71.75pt;height:262.5pt;visibility:visible">
            <v:imagedata r:id="rId9" o:title=""/>
          </v:shape>
        </w:pic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1. Структура системы водоснабжения города Волчанска.</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1-водозаборные сооружения (артезианские скважины);</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2- насосная станция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подъема;</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3 – водоочистные сооружения, станция обезжелезивания; 4-</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распределительные трубопроводы на территории ВОС; 5- резервуары чистой воды (первичные);</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6 – насосная станция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подъема; 7-резервуары чистой воды (дополнительные);</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8-насосная станция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подъема; 9-магистральные трубопроводы; 10- распределительные  трубопроводы.</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 рис. 1 показана структура системы водоснабжения города Волчанска, которая состоит </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из следующих основных элементов:</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водозаборные сооружения  (артезианские скважины);</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водоподъемная станция, т.е. насосная станция, подающая воду к очистным сооружениям (насосная станция 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водоочистные сооружения: градирня, станция обезжелезивания, система обеззараживания;</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распределительные трубопроводы на территории ВОС;</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резервуары чистой фильтрованной воды (первичные) V=100м3 каждый;</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насосная станция, подающая воду к дополнительным резервуарам (насосная станция II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 резервуары чистой воды(дополнительные) V=800м3 каждый, накапливающие и регулирующие запасы воды;</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color w:val="FF0000"/>
          <w:sz w:val="28"/>
          <w:szCs w:val="28"/>
        </w:rPr>
      </w:pPr>
      <w:r w:rsidRPr="007F425D">
        <w:rPr>
          <w:rFonts w:ascii="Times New Roman" w:hAnsi="Times New Roman" w:cs="Times New Roman"/>
          <w:sz w:val="28"/>
          <w:szCs w:val="28"/>
        </w:rPr>
        <w:t xml:space="preserve">насосная станция, подающая воду к потребителям г. Волчанска (насосная станция III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магистральные трубопроводы, предназначенные для транспортирования воды от сооружений по частям  г. Волчанска (Северную и Южную часть).</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распределительные трубопроводы, предназначенные для транспортирования воды внутри города к потребителям (уличные, дворовые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Данная централизованная система является единой и осуществляет водоснабжение г. Волчанска. </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1.1. показано географическое  расположение водозабора, водоочистной станции и магистральных водоводов в г. Волчанске.</w:t>
      </w:r>
    </w:p>
    <w:p w:rsidR="008B6C17" w:rsidRPr="007F425D" w:rsidRDefault="008B6C17" w:rsidP="007F425D">
      <w:pPr>
        <w:spacing w:after="0" w:line="240" w:lineRule="auto"/>
        <w:jc w:val="both"/>
        <w:rPr>
          <w:rFonts w:ascii="Times New Roman" w:hAnsi="Times New Roman" w:cs="Times New Roman"/>
          <w:color w:val="4F81BD"/>
          <w:sz w:val="28"/>
          <w:szCs w:val="28"/>
        </w:rPr>
      </w:pPr>
    </w:p>
    <w:p w:rsidR="008B6C17" w:rsidRPr="007F425D" w:rsidRDefault="008B6C17" w:rsidP="007F425D">
      <w:pPr>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4" o:spid="_x0000_i1026" type="#_x0000_t75" style="width:507pt;height:345.75pt;visibility:visible">
            <v:imagedata r:id="rId10" o:title=""/>
          </v:shape>
        </w:pict>
      </w:r>
    </w:p>
    <w:p w:rsidR="008B6C17" w:rsidRPr="007F425D" w:rsidRDefault="008B6C17" w:rsidP="007F425D">
      <w:pPr>
        <w:spacing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Рис.1.1.  Географическое расположение водозабора, водоочистной станции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 магистральных водоводов в г. Волчанске.</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Желтой линией показаны магистральные  ветка Южной и Северной части.</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2. Схематично изображена структура системы водоснабжения станции Лесная Волчанка: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3" o:spid="_x0000_i1027" type="#_x0000_t75" style="width:505.5pt;height:357.75pt;visibility:visible">
            <v:imagedata r:id="rId11" o:title=""/>
          </v:shape>
        </w:pic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2. Структура системы водоснабжения станции Лесная Волчанка.</w:t>
      </w:r>
    </w:p>
    <w:p w:rsidR="008B6C17" w:rsidRPr="007F425D" w:rsidRDefault="008B6C17" w:rsidP="007F425D">
      <w:pPr>
        <w:pStyle w:val="1"/>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 1,2; 2- водопроводные сети; 3- водонапорная башня;</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4-насосная станция; 5- паровозные гидроколонны №1,№2; 6- магистральный водовод;7-распределительные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рис.1 показана структура системы водоснабжения станции .Лесная Волчанка, которая состоит из следующих основных элементов:</w:t>
      </w:r>
    </w:p>
    <w:p w:rsidR="008B6C17" w:rsidRPr="007F425D" w:rsidRDefault="008B6C17" w:rsidP="007F425D">
      <w:pPr>
        <w:pStyle w:val="1"/>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№1,2 расположены в здании насосной станции, с щитом управления скважинами;</w:t>
      </w:r>
    </w:p>
    <w:p w:rsidR="008B6C17" w:rsidRPr="007F425D" w:rsidRDefault="008B6C17" w:rsidP="007F425D">
      <w:pPr>
        <w:pStyle w:val="1"/>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водопроводная сеть, протяженностью  3391,7м.</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водопроводной сети установлены: водонапорная башня и две паровозные  гидроколонны ( №1,№2).</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Водонапорная башня служит для запаса воды, а паровозные гидроколонны №1,2 служат для заправки паровозов. Данная система водоснабжения является единой для станции Лесная Волчанка</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 xml:space="preserve">(не централизованной) и используется на хозяйственно-питьевых ( далее - хоз – питьевых) нужд станции и населения.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3. Схематично изображена структура системы водоснабжения поселка п. Вьюжный: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2" o:spid="_x0000_i1028" type="#_x0000_t75" style="width:505.5pt;height:357.75pt;visibility:visible">
            <v:imagedata r:id="rId12" o:title=""/>
          </v:shape>
        </w:pic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3. Структура системы водоснабжения п. Вьюжный.</w:t>
      </w:r>
    </w:p>
    <w:p w:rsidR="008B6C17" w:rsidRPr="007F425D" w:rsidRDefault="008B6C17" w:rsidP="007F425D">
      <w:pPr>
        <w:pStyle w:val="1"/>
        <w:widowControl w:val="0"/>
        <w:numPr>
          <w:ilvl w:val="0"/>
          <w:numId w:val="22"/>
        </w:numPr>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 1,2 (№3-резервная); 2- насосная станция;</w:t>
      </w:r>
    </w:p>
    <w:p w:rsidR="008B6C17" w:rsidRPr="007F425D" w:rsidRDefault="008B6C17" w:rsidP="007F425D">
      <w:pPr>
        <w:pStyle w:val="1"/>
        <w:widowControl w:val="0"/>
        <w:numPr>
          <w:ilvl w:val="0"/>
          <w:numId w:val="22"/>
        </w:numPr>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 3- водонапорная башня; 4- магистральный водовод; 5-распределительные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Данные системы  водоснабжения поселка Вьюжный и станции Лесная Волчанка являются единственной нецентрализованной системой  и используется на хозяйственно-питьевые нужды станции, населения станции Лесная Волчанка и населения пос. Вьюжный.</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используются скважины законтурного Волчанского узла только для производственного водоснабжения и частично сбрасываются без использования (со скважин Северного дренажного узла) и часть используются для хоз-питьевых целей. Также хоз-питьевое и частично производственное водоснабжение промышленных предприятий осуществляется от систем водоснабжения Северной части  и Южной части г. Волчанска.</w:t>
      </w:r>
      <w:bookmarkStart w:id="2" w:name="_Toc383443678"/>
      <w:bookmarkStart w:id="3" w:name="_Toc402374588"/>
    </w:p>
    <w:p w:rsidR="008B6C17" w:rsidRPr="007F425D" w:rsidRDefault="008B6C17" w:rsidP="007F425D">
      <w:pPr>
        <w:tabs>
          <w:tab w:val="left" w:pos="1080"/>
        </w:tabs>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Описание состояния существующих источников водоснабжения и водозаборных сооружений</w:t>
      </w:r>
      <w:bookmarkEnd w:id="2"/>
      <w:r w:rsidRPr="007F425D">
        <w:rPr>
          <w:rFonts w:ascii="Times New Roman" w:hAnsi="Times New Roman" w:cs="Times New Roman"/>
          <w:b/>
          <w:bCs/>
          <w:sz w:val="28"/>
          <w:szCs w:val="28"/>
        </w:rPr>
        <w:t>.</w:t>
      </w:r>
      <w:bookmarkEnd w:id="3"/>
    </w:p>
    <w:p w:rsidR="008B6C17" w:rsidRPr="007F425D" w:rsidRDefault="008B6C17" w:rsidP="007F425D">
      <w:pPr>
        <w:spacing w:after="0" w:line="240" w:lineRule="auto"/>
        <w:jc w:val="both"/>
        <w:rPr>
          <w:rFonts w:ascii="Times New Roman" w:hAnsi="Times New Roman" w:cs="Times New Roman"/>
          <w:b/>
          <w:bCs/>
          <w:sz w:val="28"/>
          <w:szCs w:val="28"/>
        </w:rPr>
      </w:pPr>
    </w:p>
    <w:p w:rsidR="008B6C17" w:rsidRPr="007F425D" w:rsidRDefault="008B6C17" w:rsidP="007F425D">
      <w:pPr>
        <w:pStyle w:val="10"/>
        <w:spacing w:before="0" w:after="0"/>
        <w:ind w:firstLine="709"/>
        <w:jc w:val="both"/>
        <w:rPr>
          <w:rFonts w:ascii="Times New Roman" w:hAnsi="Times New Roman" w:cs="Times New Roman"/>
          <w:sz w:val="28"/>
          <w:szCs w:val="28"/>
        </w:rPr>
      </w:pPr>
      <w:r w:rsidRPr="007F425D">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Северо-Волчанский, Лиховской водозаборы,  водозаборный участок ст. Лесная Волчанка, водозаборный участок пос. Вьюжный,  водозаборный участок Волчанского механического завода.</w:t>
      </w:r>
    </w:p>
    <w:p w:rsidR="008B6C17" w:rsidRPr="007F425D" w:rsidRDefault="008B6C17" w:rsidP="007F425D">
      <w:pPr>
        <w:pStyle w:val="10"/>
        <w:spacing w:before="0" w:after="0"/>
        <w:ind w:firstLine="709"/>
        <w:jc w:val="both"/>
        <w:rPr>
          <w:rFonts w:ascii="Times New Roman" w:hAnsi="Times New Roman" w:cs="Times New Roman"/>
          <w:sz w:val="28"/>
          <w:szCs w:val="28"/>
        </w:rPr>
      </w:pPr>
      <w:r w:rsidRPr="007F425D">
        <w:rPr>
          <w:rFonts w:ascii="Times New Roman" w:hAnsi="Times New Roman" w:cs="Times New Roman"/>
          <w:sz w:val="28"/>
          <w:szCs w:val="28"/>
        </w:rPr>
        <w:t>Общее количество подземных скважин – 15 ед., из них в работе 7 скважин.</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МУП «Водоканал» осуществляет в г. Волчанск услуги подъема и водоподготовки питьевой воды. Для оказания услуг подъема эксплуатирует два участка месторождения подземных питьевых вод. Имущественный комплекс, в том числе водозаборные скважины на основании Постановления Главы Волчанского городского округа от 31.05.2010г. № 382 передан муниципальному унитарному предприятию «Водоканал» (договор аренды от 01.06.2010г. №5) для обслуживания. Водопользователем (МУП «Водоканал»), в 2011г., получена лицензия №02990 вида СВЕ серии ВЭ, действующей до 30.04.2036 года, на пользование недрами, добычу питьевых подземных вод  на водозаборных участках Волчанского месторождения подземных вод (далее – МПВ) для  питьевого, хоз- бытового и технологического водоснабжения г.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источниками хоз-питьевого водоснабжения г. Волчанска являются артезианские скважины Волчанского месторождения, в котором выделено два водозабора:</w:t>
      </w:r>
    </w:p>
    <w:p w:rsidR="008B6C17" w:rsidRPr="007F425D" w:rsidRDefault="008B6C17" w:rsidP="007F425D">
      <w:pPr>
        <w:numPr>
          <w:ilvl w:val="0"/>
          <w:numId w:val="18"/>
        </w:numPr>
        <w:tabs>
          <w:tab w:val="num" w:pos="0"/>
          <w:tab w:val="left" w:pos="1080"/>
        </w:tabs>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Волчанское месторождение подземных вод (МПВ), в  составе Северо-Волчанского и Лиховского водозаборных участков, с утвержденным максимальным среднегодовым запасом подземных вод составляет суммарно  - 6,4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.(2336,0 тыс.м3/год). В том числе:</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Северо-Волчанский  водозабор, – 4,7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состоящий из 4-х эксплуатационных скважин  (№ 1, 3, 8, 9э) и одной наблюдательной скважины 2в, находится в 3,5км западнее северной части г. Волчанска  на левом берегу реки Малый Лих, в 0,7км от ее русла.</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Лиховский  водозабор -  1,7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состоящий из 2-х эксплуатационных скважин (№6, 7) расположен в 0,65км западнее Северо-Волчанского водозабора , на левом берегу  реки Малый Лих , в 60.0км от ее русла. Согласно  приказа МУП «Водоканал» №3/3 от 01.06.2010г. работа скважин  (№6 и №7)  Лиховского водозабора остановлена. Скважины законсервированы.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Скважины № 1,3,8 являются рабочими. Скважины № 6,7,9э находятся в резерве (консервации), согласно приказа №3/3 от 01.06.2010г. МУП «Водоканал». Северо - Волчанский и Лиховский водозаборы расположены на территории  МО города Волчанск, в районе Лиховского болота. Лиховской водозабор расположен от Северо-Волчанского на расстоянии 700м. Утвержденные запасы пресных подземных вод на 01.03.2011г. подтверждаются лицензией №01957 вида СВЕ серии ВЭ, действующей до 31.05.2026 года.</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Эксплуатационные зоны Северо-Волчанского месторождения подземных вод, относятся к категории «А», и эксплуатируются организацией-недропользователем МУП «Водоканал» на основании лицензии на недропользование № 02990 СВЭ  от  28.04.2011.</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Пресные подземные воды Северо- Волчанского месторождения используются для хозяйственно-питьевого водоснабжения. Местоположение- Северо-Волчанского участка: Волчанское МПВ, Северо-Волчанский участок, Волчанский городской округ,г.Волчанск,3,0 км северо-западнее северной окраины. Разрешенная величина водоотбора-4700 тыс.м3/сут.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Величина утвержденных эксплуатационных запасов подземных вод по Волчанскому месторождению -2336 тыс.м3/год 96,4 тыс.м3/сут.),в том числе Северо-Волчанский водозабор-4,7тыс.м3/сут, Лиховской водозабор-1,7тыс.м3/сут.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Объем водопотребления составляет: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Проектная производительность-12,5тыс.м3/сут.,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Нормативное водопотребление-6,4тыс.м3/сут.,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Фактический водоотбор-3,7 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4 Схематично изображены артезианские скважины Северо-Волчанского месторождения, расположенные в квартале 100 Волчанского лесничества Карпинского лесхоза и не входящие в состав Гослесфонда.</w:t>
      </w: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r w:rsidRPr="0016042C">
        <w:rPr>
          <w:rFonts w:ascii="Times New Roman" w:hAnsi="Times New Roman" w:cs="Times New Roman"/>
          <w:noProof/>
          <w:sz w:val="28"/>
          <w:szCs w:val="28"/>
          <w:lang w:eastAsia="ru-RU"/>
        </w:rPr>
        <w:pict>
          <v:shape id="Рисунок 1" o:spid="_x0000_i1029" type="#_x0000_t75" style="width:382.5pt;height:315.75pt;visibility:visible">
            <v:imagedata r:id="rId13" o:title=""/>
          </v:shape>
        </w:pict>
      </w:r>
    </w:p>
    <w:p w:rsidR="008B6C17" w:rsidRPr="007F425D" w:rsidRDefault="008B6C17" w:rsidP="007F425D">
      <w:pPr>
        <w:tabs>
          <w:tab w:val="left" w:pos="1080"/>
        </w:tabs>
        <w:spacing w:line="240" w:lineRule="auto"/>
        <w:jc w:val="both"/>
        <w:rPr>
          <w:rFonts w:ascii="Times New Roman" w:hAnsi="Times New Roman" w:cs="Times New Roman"/>
          <w:sz w:val="28"/>
          <w:szCs w:val="28"/>
        </w:rPr>
      </w:pPr>
      <w:r w:rsidRPr="007F425D">
        <w:rPr>
          <w:rFonts w:ascii="Times New Roman" w:hAnsi="Times New Roman" w:cs="Times New Roman"/>
          <w:sz w:val="28"/>
          <w:szCs w:val="28"/>
        </w:rPr>
        <w:t>Рис. 4</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Северо-Волчанское</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 xml:space="preserve"> месторождение подземных вод.</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Эксплуатационные запасы Лиховского участка относятся к категории «В», согласно протокола НТС б/н от 11.11.1971г.; НТС ПГО «Уралгеология»№ 64 от 30.11.1982г.. Организацией- недропользователем является МУП «Водоканал». Пресные подземные воды по Лиховскому месторождению используются для хозяйственно-питьевого водоснабжения. Местоположение-Лиховского участка: Волчанское МПВ, Лиховской участок городского округа, г.Волчанск,3,5 км северо-западнее,  в долине реки Малый Лих.</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Участок недр имеет статус горного отвода. В геоморфологическом отношении район расположен в зоне горно-холмистого Северного Урала и его увалистого восточного склона. Естественный рельеф территории нарушен открытыми выработками буроугольного месторождения «Волчанский» и отвалами вскрышной породы. Западная часть территории города представляет гористо-увалистые формы рельефа, вытянутые в меридиональном направлении. Восточная часть имеет характерные равнинные черты. Геологическое строение  территории,  прилегающей к г. Волчанску, сложное. 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Гидрогеологические условия района характеризуются наличием обособленных водоносных горизонтов в четвертичных, мезозойских и девонских отложениях. Гидрогеологические условия района характеризуются наличием обособленных водоносных горизонтов в четвертичных, мезозойских и девонских отложениях. Подземные воды  четвертичных отложений имеют локальное развитие на застроенной территории, вследствие сдренированности при отработке угольного месторождения и широко развиты на участках, отдаленных от карьера. Воды нижнемезозойского водоносного горизонта – трещинно-пластовые, напорные, приурочены к углям, песчаникам и конгломератам. Водоносная толща подугольного горизонта имеет повсеместное распространение и представлена девонскими известняками, песчаниками, конгломератами и глинами.  Питание бассейна подземных вод происходит, преимущественно, за счет атмосферных осадков, а также при  вскрытии  тектонических водообильных зон. При вскрытии горными работами возможны внезапные прорывы подземных вод из известняков палеозоя.</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Гидрографическая сеть района представлена рекой Большой Волчанкой и ее притоками – реками Малой Волчанкой, Макарьевкой, Озерной, Логовой, Мостовкой, Березовкой – бассейн реки Сосьвы – реки  Обь. По характеру водного режима и питания реки относятся к смешанному типу с преобладанием снегового. Годовой режим стока характеризуется резко выраженным весенним половодьем, неустойчивой осенней меженью, часто прерываемой дождевыми паводками. На весенний период приходится 50-55% годового стока, на долю осеннего периода около 40%, на зиму-5-7%. Устойчивый ледостав образуется в первой декаде ноября. Вскрытие рек начинается в третьей декаде апреля. Пик половодья наблюдается во второй, третьей декаде мая, окончание половодья – вторая, третья декада июня. Продолжительность половодья составляет 50-68 дней. Река Большая Волчанка – правобережный приток реки Сосьвы, гидрографическая система   реки Обь. Река берет начало из болота Лихое. Ее общая длина составляет 66 км. Длина реки Большая Волчанка до города Волчанска составляет 0,5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Химический состав подземных вод определяется условиями питания и составами грунтами. Гидрогеологическими работами установлено, что оба  водозаборных участка имеют самостоятельные области питания, наличие между ними слабопроницаемого  блока известняков практически исключает прямое взаимовлияние водозаборов друг на друга. Эксплуатационные запасы подземных  вод Северо-Волчанского и Лиховского водозаборных участков формируются преимущественно за счет естественных ресурсов.  На участках, где питание происходит за счет инфильтрации атмосферных осадков, воды имеют минерализацию 0,3 – 0,4 г/л и гидрокарбонатный кальциево-магниевый или магниево-кальциевый состав. На участках, где питание комплекса осуществляется за счет перетока болот, минерализация возрастает, воды приобретают сульфатно-гидрокарбонатный состав.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По химическому составу подземные воды Волчанского МПВ относятся к гидрокарбонатным кальциевым с минерализацией (сухой остаток) до 0,3-0,4г/дм3. Качество подземных вод  в объеме проведенных исследований, выполненных в лаборатории МУП «Водоканал» и по санитарно- эпидемиологическому заключению  от 28.07.2010г. Федеральной службы по надзору в сфере защиты прав потребителей и благополучия человека, подземные источники  не соответствуют требованиям СанПиН 2.1.4.1074-01 </w:t>
      </w:r>
      <w:r w:rsidRPr="007F425D">
        <w:rPr>
          <w:rFonts w:ascii="Times New Roman" w:hAnsi="Times New Roman" w:cs="Times New Roman"/>
          <w:spacing w:val="-1"/>
          <w:sz w:val="28"/>
          <w:szCs w:val="28"/>
        </w:rPr>
        <w:t>«</w:t>
      </w:r>
      <w:r w:rsidRPr="007F425D">
        <w:rPr>
          <w:rFonts w:ascii="Times New Roman" w:hAnsi="Times New Roman" w:cs="Times New Roman"/>
          <w:sz w:val="28"/>
          <w:szCs w:val="28"/>
        </w:rPr>
        <w:t>Питьевая вода. Гигиенические требования к качеству воды централизованных систем питьевого водоснабжения. Контроль качества. Санитарно- эпидемиологические правила и нормы</w:t>
      </w:r>
      <w:r w:rsidRPr="007F425D">
        <w:rPr>
          <w:rFonts w:ascii="Times New Roman" w:hAnsi="Times New Roman" w:cs="Times New Roman"/>
          <w:spacing w:val="-1"/>
          <w:sz w:val="28"/>
          <w:szCs w:val="28"/>
        </w:rPr>
        <w:t>». На Северо-Волчанском водозаборе превышение показателей в последние годы (2009г.) составило</w:t>
      </w:r>
      <w:r w:rsidRPr="007F425D">
        <w:rPr>
          <w:rFonts w:ascii="Times New Roman" w:hAnsi="Times New Roman" w:cs="Times New Roman"/>
          <w:sz w:val="28"/>
          <w:szCs w:val="28"/>
        </w:rPr>
        <w:t>: железо (2,6-6,5 мг/дм3,при ПДК 0,3мг/дм3 (до 20ПДК)), марганец (0,22-1,75мг/дм3.при ПДК 0,1мг/дм3,(до 15ПДК)), окисляемость и как следствие по цветности (до 23-35град.при ПДК 20 град,(до 15 ПДК)), мутности (до 1,98-56,78 мг/дм3.при ПДК 1,5мг/дм3,(до 13ПДК)), что характерно для заболоченных территорий. В радиационном отношении вода безопасная.</w:t>
      </w:r>
      <w:r w:rsidRPr="007F425D">
        <w:rPr>
          <w:rFonts w:ascii="Times New Roman" w:hAnsi="Times New Roman" w:cs="Times New Roman"/>
          <w:color w:val="365F91"/>
          <w:sz w:val="28"/>
          <w:szCs w:val="28"/>
        </w:rPr>
        <w:t xml:space="preserve"> </w:t>
      </w:r>
      <w:r w:rsidRPr="007F425D">
        <w:rPr>
          <w:rFonts w:ascii="Times New Roman" w:hAnsi="Times New Roman" w:cs="Times New Roman"/>
          <w:sz w:val="28"/>
          <w:szCs w:val="28"/>
        </w:rPr>
        <w:t>На Лиховском водозаборе, в последние годы его эксплуатации вода также не отвечала требованиям СанПиН 2.1.4.1074-01 по окисляемости (до 1,4ПДК), по содержанию железа(до 20ПДК), марганца(до 10ПДК),и как следствие по цветности (до 15ПДК),мутности (до 14ПДК).</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По микробиологическим, вирусологическим показателям превышений ПДК не обнаружено (воды здоровые).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Качество воды подземного источника централизованного водоснабжения контролирует ФБУЗ «Центр гигиены и эпидемиологии в Свердловской области» в г. Североуральск,  в г. Ивдель, в городе Краснотурьинске и городе Карпинск», отбор проб и проведение анализов осуществляется аккредитованной лабораторией (аттестат № РОСС </w:t>
      </w:r>
      <w:r w:rsidRPr="007F425D">
        <w:rPr>
          <w:rFonts w:ascii="Times New Roman" w:hAnsi="Times New Roman" w:cs="Times New Roman"/>
          <w:sz w:val="28"/>
          <w:szCs w:val="28"/>
          <w:lang w:val="en-US"/>
        </w:rPr>
        <w:t>RU</w:t>
      </w:r>
      <w:r w:rsidRPr="007F425D">
        <w:rPr>
          <w:rFonts w:ascii="Times New Roman" w:hAnsi="Times New Roman" w:cs="Times New Roman"/>
          <w:sz w:val="28"/>
          <w:szCs w:val="28"/>
        </w:rPr>
        <w:t xml:space="preserve">.0001.514236), в соответствии с  ГОСТ Р 51593-2000 «Вода питьевая. Отбор проб», а также контроль питьевой воды из разводящей сети и перед подачей в разводящую сеть (резервуар-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-подъем) поводит лаборатория МУП «Водоканал» г. Волчанска, по утвержденной, согласованной органами  Роспотребнадзора рабочей программе лабораторно-производственного микробиологического, химического и технологического контроля на 2010-2014г.г.. Деятельность МУП «Водоканал», связанная с забором подземных вод из артезианских скважин Волчанского водозабора на хозяйственно-питьевые нужды населения г. Волчанска согласована и удостоверена санитарно эпидемиологическим заключением  № 66.01.31.000.м.002598.07.10 от 28.07.2010г.</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r w:rsidRPr="007F425D">
        <w:rPr>
          <w:rFonts w:ascii="Times New Roman" w:hAnsi="Times New Roman" w:cs="Times New Roman"/>
          <w:spacing w:val="-1"/>
          <w:sz w:val="28"/>
          <w:szCs w:val="28"/>
        </w:rPr>
        <w:t>Результаты исследования качества воды</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Волчанского водозабора за первое полугодие 2014  года,</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 xml:space="preserve">согласно информации, предоставленной МУП «Водоканал», представлены в </w:t>
      </w:r>
      <w:bookmarkStart w:id="4" w:name="OLE_LINK10"/>
      <w:bookmarkStart w:id="5" w:name="OLE_LINK11"/>
      <w:r w:rsidRPr="007F425D">
        <w:rPr>
          <w:rFonts w:ascii="Times New Roman" w:hAnsi="Times New Roman" w:cs="Times New Roman"/>
          <w:spacing w:val="-1"/>
          <w:sz w:val="28"/>
          <w:szCs w:val="28"/>
        </w:rPr>
        <w:t xml:space="preserve">таблице </w:t>
      </w:r>
      <w:bookmarkEnd w:id="4"/>
      <w:bookmarkEnd w:id="5"/>
      <w:r w:rsidRPr="007F425D">
        <w:rPr>
          <w:rFonts w:ascii="Times New Roman" w:hAnsi="Times New Roman" w:cs="Times New Roman"/>
          <w:spacing w:val="-1"/>
          <w:sz w:val="28"/>
          <w:szCs w:val="28"/>
        </w:rPr>
        <w:t>1.</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r w:rsidRPr="007F425D">
        <w:rPr>
          <w:rFonts w:ascii="Times New Roman" w:hAnsi="Times New Roman" w:cs="Times New Roman"/>
          <w:spacing w:val="-1"/>
          <w:sz w:val="28"/>
          <w:szCs w:val="28"/>
        </w:rPr>
        <w:t>Сводная таблица результатов анализов</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Волчанского водозабора за 1 полугодие 2014 г.</w:t>
      </w:r>
      <w:r w:rsidRPr="007F425D">
        <w:rPr>
          <w:rFonts w:ascii="Times New Roman" w:hAnsi="Times New Roman" w:cs="Times New Roman"/>
          <w:color w:val="FF0000"/>
          <w:spacing w:val="-1"/>
          <w:sz w:val="28"/>
          <w:szCs w:val="28"/>
        </w:rPr>
        <w:t xml:space="preserve"> </w:t>
      </w:r>
    </w:p>
    <w:p w:rsidR="008B6C17" w:rsidRPr="007F425D" w:rsidRDefault="008B6C17" w:rsidP="007F425D">
      <w:pPr>
        <w:autoSpaceDE w:val="0"/>
        <w:autoSpaceDN w:val="0"/>
        <w:adjustRightInd w:val="0"/>
        <w:spacing w:after="0" w:line="240" w:lineRule="auto"/>
        <w:ind w:firstLine="709"/>
        <w:jc w:val="right"/>
        <w:rPr>
          <w:rFonts w:ascii="Times New Roman" w:hAnsi="Times New Roman" w:cs="Times New Roman"/>
          <w:spacing w:val="-1"/>
          <w:sz w:val="28"/>
          <w:szCs w:val="28"/>
        </w:rPr>
      </w:pPr>
      <w:r w:rsidRPr="007F425D">
        <w:rPr>
          <w:rFonts w:ascii="Times New Roman" w:hAnsi="Times New Roman" w:cs="Times New Roman"/>
          <w:spacing w:val="-1"/>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40"/>
        <w:gridCol w:w="1908"/>
        <w:gridCol w:w="1658"/>
        <w:gridCol w:w="1731"/>
        <w:gridCol w:w="1349"/>
        <w:gridCol w:w="1392"/>
        <w:gridCol w:w="1316"/>
      </w:tblGrid>
      <w:tr w:rsidR="008B6C17" w:rsidRPr="007F425D">
        <w:trPr>
          <w:tblHeader/>
          <w:jc w:val="center"/>
        </w:trPr>
        <w:tc>
          <w:tcPr>
            <w:tcW w:w="28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105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713"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Минимальное значение</w:t>
            </w:r>
          </w:p>
        </w:tc>
        <w:tc>
          <w:tcPr>
            <w:tcW w:w="740"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Максимальное значение</w:t>
            </w:r>
          </w:p>
        </w:tc>
        <w:tc>
          <w:tcPr>
            <w:tcW w:w="741"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Средние показатели</w:t>
            </w:r>
          </w:p>
        </w:tc>
        <w:tc>
          <w:tcPr>
            <w:tcW w:w="775"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ПДК,ГОСТ 2761-84</w:t>
            </w:r>
          </w:p>
        </w:tc>
        <w:tc>
          <w:tcPr>
            <w:tcW w:w="687"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 СанПиН</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2.1.4.1074-01</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Цветность, град</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186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139</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Мутность,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5,55</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8,65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Запах, балл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Привкус</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pH, ед.pH</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Жесткость общ.</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5,68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6,37</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5,88</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Окисляемость перманганатная,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5,168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6,38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6,23</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Сухой остаток,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267</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318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292</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Аммиак, ионы аммония сумм,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2,534</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4,516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3,525</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Нитрит-ион,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0,016</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0,312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0,376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0,34</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Хлорид-ион,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5,34</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Сульфат-ион,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20,44</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34,11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25,77</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Полифосфат-ион,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0,013</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0,016</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Алюминий,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0,019</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0,065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0,042</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0,5</w:t>
            </w:r>
          </w:p>
        </w:tc>
        <w:tc>
          <w:tcPr>
            <w:tcW w:w="687" w:type="pct"/>
          </w:tcPr>
          <w:p w:rsidR="008B6C17" w:rsidRPr="007F425D" w:rsidRDefault="008B6C17" w:rsidP="007F425D">
            <w:pPr>
              <w:pStyle w:val="10"/>
              <w:jc w:val="both"/>
              <w:rPr>
                <w:rFonts w:ascii="Times New Roman" w:hAnsi="Times New Roman" w:cs="Times New Roman"/>
                <w:color w:val="FF0000"/>
                <w:sz w:val="24"/>
                <w:szCs w:val="24"/>
              </w:rPr>
            </w:pP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Железо сумм,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5,672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5,934</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5,803</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Марганец ,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0,891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0,958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0,924</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0,1</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Медь,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0,062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0,088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0,075</w:t>
            </w:r>
          </w:p>
        </w:tc>
        <w:tc>
          <w:tcPr>
            <w:tcW w:w="775" w:type="pct"/>
          </w:tcPr>
          <w:p w:rsidR="008B6C17" w:rsidRPr="007F425D" w:rsidRDefault="008B6C17" w:rsidP="007F425D">
            <w:pPr>
              <w:pStyle w:val="10"/>
              <w:jc w:val="both"/>
              <w:rPr>
                <w:rFonts w:ascii="Times New Roman" w:hAnsi="Times New Roman" w:cs="Times New Roman"/>
                <w:color w:val="FF0000"/>
                <w:sz w:val="24"/>
                <w:szCs w:val="24"/>
              </w:rPr>
            </w:pPr>
          </w:p>
        </w:tc>
        <w:tc>
          <w:tcPr>
            <w:tcW w:w="687" w:type="pct"/>
          </w:tcPr>
          <w:p w:rsidR="008B6C17" w:rsidRPr="007F425D" w:rsidRDefault="008B6C17" w:rsidP="007F425D">
            <w:pPr>
              <w:pStyle w:val="10"/>
              <w:jc w:val="both"/>
              <w:rPr>
                <w:rFonts w:ascii="Times New Roman" w:hAnsi="Times New Roman" w:cs="Times New Roman"/>
                <w:color w:val="FF0000"/>
                <w:sz w:val="24"/>
                <w:szCs w:val="24"/>
              </w:rPr>
            </w:pPr>
          </w:p>
        </w:tc>
      </w:tr>
      <w:tr w:rsidR="008B6C17" w:rsidRPr="007F425D">
        <w:trPr>
          <w:jc w:val="center"/>
        </w:trPr>
        <w:tc>
          <w:tcPr>
            <w:tcW w:w="28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105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Фторид-ион, мг/л</w:t>
            </w:r>
          </w:p>
        </w:tc>
        <w:tc>
          <w:tcPr>
            <w:tcW w:w="713"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0,207</w:t>
            </w:r>
          </w:p>
        </w:tc>
        <w:tc>
          <w:tcPr>
            <w:tcW w:w="740"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0,258</w:t>
            </w:r>
          </w:p>
        </w:tc>
        <w:tc>
          <w:tcPr>
            <w:tcW w:w="741"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0,232</w:t>
            </w:r>
          </w:p>
        </w:tc>
        <w:tc>
          <w:tcPr>
            <w:tcW w:w="775"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p>
        </w:tc>
        <w:tc>
          <w:tcPr>
            <w:tcW w:w="68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r>
    </w:tbl>
    <w:p w:rsidR="008B6C17" w:rsidRPr="007F425D" w:rsidRDefault="008B6C17" w:rsidP="007F425D">
      <w:pPr>
        <w:autoSpaceDE w:val="0"/>
        <w:autoSpaceDN w:val="0"/>
        <w:adjustRightInd w:val="0"/>
        <w:spacing w:after="0" w:line="240" w:lineRule="auto"/>
        <w:jc w:val="both"/>
        <w:rPr>
          <w:rFonts w:ascii="Times New Roman" w:hAnsi="Times New Roman" w:cs="Times New Roman"/>
          <w:spacing w:val="-1"/>
          <w:sz w:val="24"/>
          <w:szCs w:val="24"/>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4"/>
          <w:szCs w:val="24"/>
        </w:rPr>
      </w:pPr>
      <w:r w:rsidRPr="007F425D">
        <w:rPr>
          <w:rFonts w:ascii="Times New Roman" w:hAnsi="Times New Roman" w:cs="Times New Roman"/>
          <w:spacing w:val="-1"/>
          <w:sz w:val="24"/>
          <w:szCs w:val="24"/>
        </w:rPr>
        <w:t>Результаты радиационного контроля воды подземных источников артезианских скважин в местах водозабора представлены в таблице 2.</w:t>
      </w:r>
    </w:p>
    <w:p w:rsidR="008B6C17" w:rsidRPr="007F425D" w:rsidRDefault="008B6C17" w:rsidP="007F425D">
      <w:pPr>
        <w:autoSpaceDE w:val="0"/>
        <w:autoSpaceDN w:val="0"/>
        <w:adjustRightInd w:val="0"/>
        <w:spacing w:after="0" w:line="240" w:lineRule="auto"/>
        <w:ind w:firstLine="709"/>
        <w:jc w:val="right"/>
        <w:rPr>
          <w:rFonts w:ascii="Times New Roman" w:hAnsi="Times New Roman" w:cs="Times New Roman"/>
          <w:spacing w:val="-1"/>
          <w:sz w:val="24"/>
          <w:szCs w:val="24"/>
        </w:rPr>
      </w:pPr>
      <w:r w:rsidRPr="007F425D">
        <w:rPr>
          <w:rFonts w:ascii="Times New Roman" w:hAnsi="Times New Roman" w:cs="Times New Roman"/>
          <w:spacing w:val="-1"/>
          <w:sz w:val="24"/>
          <w:szCs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42"/>
        <w:gridCol w:w="1010"/>
        <w:gridCol w:w="2449"/>
        <w:gridCol w:w="2735"/>
        <w:gridCol w:w="2735"/>
      </w:tblGrid>
      <w:tr w:rsidR="008B6C17" w:rsidRPr="007F425D">
        <w:trPr>
          <w:trHeight w:val="517"/>
          <w:jc w:val="center"/>
        </w:trPr>
        <w:tc>
          <w:tcPr>
            <w:tcW w:w="335"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52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Год</w:t>
            </w:r>
          </w:p>
        </w:tc>
        <w:tc>
          <w:tcPr>
            <w:tcW w:w="127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Общая α – радиоактивность, Бк/кг, ПДК -0,1 Бк/л</w:t>
            </w:r>
          </w:p>
        </w:tc>
        <w:tc>
          <w:tcPr>
            <w:tcW w:w="1429"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Радон-222,</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ПДК-60Бк/л</w:t>
            </w:r>
          </w:p>
        </w:tc>
        <w:tc>
          <w:tcPr>
            <w:tcW w:w="142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xml:space="preserve">Общая β – радиоактивность, </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ПДК-1,0 Бк/л</w:t>
            </w:r>
          </w:p>
        </w:tc>
      </w:tr>
      <w:tr w:rsidR="008B6C17" w:rsidRPr="007F425D">
        <w:trPr>
          <w:trHeight w:val="517"/>
          <w:jc w:val="center"/>
        </w:trPr>
        <w:tc>
          <w:tcPr>
            <w:tcW w:w="335"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527"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2013</w:t>
            </w:r>
          </w:p>
        </w:tc>
        <w:tc>
          <w:tcPr>
            <w:tcW w:w="1279"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w:t>
            </w:r>
          </w:p>
        </w:tc>
        <w:tc>
          <w:tcPr>
            <w:tcW w:w="1429"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10,5</w:t>
            </w:r>
          </w:p>
        </w:tc>
        <w:tc>
          <w:tcPr>
            <w:tcW w:w="1429"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0,055</w:t>
            </w:r>
          </w:p>
        </w:tc>
      </w:tr>
    </w:tbl>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r w:rsidRPr="007F425D">
        <w:rPr>
          <w:rFonts w:ascii="Times New Roman" w:hAnsi="Times New Roman" w:cs="Times New Roman"/>
          <w:spacing w:val="-1"/>
          <w:sz w:val="28"/>
          <w:szCs w:val="28"/>
        </w:rPr>
        <w:t>Общие α и β радиоактивности и суммарная объемная радиоактивность в течение последних лет наблюдения – нормативные.</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r w:rsidRPr="007F425D">
        <w:rPr>
          <w:rFonts w:ascii="Times New Roman" w:hAnsi="Times New Roman" w:cs="Times New Roman"/>
          <w:spacing w:val="-1"/>
          <w:sz w:val="28"/>
          <w:szCs w:val="28"/>
        </w:rPr>
        <w:t>Микробиологические и паразитологические показатели воды подземных источников г. Волчанска соответствуют гигиеническим нормативам ГН 2.1.5.1351-03 «Предельно допустимые концентрации (ПДК)химических веществ в воде водных объектов хозяйственно-питьевого и культурно-бытового водопользования», СанПиН 2.1.4.1074-01 «Питьевая вода. Гигиенические требования к качеству воды централизованных систем питьевого водоснабжения. Контроль качества.», что подтверждается санитарно-эпидемиологическим заключением (№ 66.01.31.000.М.002598.07.10 от 28.07.2010г). Воды подземного источника не токсичны.</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Согласно протоколам лабораторных испытаний </w:t>
      </w:r>
      <w:r w:rsidRPr="007F425D">
        <w:rPr>
          <w:rFonts w:ascii="Times New Roman" w:hAnsi="Times New Roman" w:cs="Times New Roman"/>
          <w:sz w:val="28"/>
          <w:szCs w:val="28"/>
        </w:rPr>
        <w:t xml:space="preserve">ФБУЗ «Центр гигиены и эпидемиологии в Свердловской области» в г. Североуральск, в г. Ивдель, в городе Краснотурьинске и городе Карпинск» и проведению количественных химических анализов, выявлены следующие отклонения по качество воды скважин- «Вода подземного источника централизованного водоснабжения» не соответствует требованиям гигиенических нормативов </w:t>
      </w:r>
      <w:r w:rsidRPr="007F425D">
        <w:rPr>
          <w:rFonts w:ascii="Times New Roman" w:hAnsi="Times New Roman" w:cs="Times New Roman"/>
          <w:spacing w:val="-1"/>
          <w:sz w:val="28"/>
          <w:szCs w:val="28"/>
        </w:rPr>
        <w:t xml:space="preserve">ГН 2.1.5.1351-03 «Предельно допустимые концентрации (ПДК) химических веществ в воде водных объектов хозяйственно-питьевого и культурно-бытового водопользования» по следующим показателям: окисляемость, содержанию аммиака, железо(включая хлорное железо по </w:t>
      </w:r>
      <w:r w:rsidRPr="007F425D">
        <w:rPr>
          <w:rFonts w:ascii="Times New Roman" w:hAnsi="Times New Roman" w:cs="Times New Roman"/>
          <w:spacing w:val="-1"/>
          <w:sz w:val="28"/>
          <w:szCs w:val="28"/>
          <w:lang w:val="en-US"/>
        </w:rPr>
        <w:t>Fe</w:t>
      </w:r>
      <w:r w:rsidRPr="007F425D">
        <w:rPr>
          <w:rFonts w:ascii="Times New Roman" w:hAnsi="Times New Roman" w:cs="Times New Roman"/>
          <w:spacing w:val="-1"/>
          <w:sz w:val="28"/>
          <w:szCs w:val="28"/>
        </w:rPr>
        <w:t xml:space="preserve"> (4,9</w:t>
      </w:r>
      <w:r w:rsidRPr="007F425D">
        <w:rPr>
          <w:rFonts w:ascii="Times New Roman" w:hAnsi="Times New Roman" w:cs="Times New Roman"/>
          <w:spacing w:val="-1"/>
          <w:sz w:val="28"/>
          <w:szCs w:val="28"/>
          <w:u w:val="single"/>
        </w:rPr>
        <w:t>+</w:t>
      </w:r>
      <w:r w:rsidRPr="007F425D">
        <w:rPr>
          <w:rFonts w:ascii="Times New Roman" w:hAnsi="Times New Roman" w:cs="Times New Roman"/>
          <w:spacing w:val="-1"/>
          <w:sz w:val="28"/>
          <w:szCs w:val="28"/>
        </w:rPr>
        <w:t>0,7 (ПДК-0,3 мг/дм3),марганец (0,72</w:t>
      </w:r>
      <w:r w:rsidRPr="007F425D">
        <w:rPr>
          <w:rFonts w:ascii="Times New Roman" w:hAnsi="Times New Roman" w:cs="Times New Roman"/>
          <w:spacing w:val="-1"/>
          <w:sz w:val="28"/>
          <w:szCs w:val="28"/>
          <w:u w:val="single"/>
        </w:rPr>
        <w:t>+</w:t>
      </w:r>
      <w:r w:rsidRPr="007F425D">
        <w:rPr>
          <w:rFonts w:ascii="Times New Roman" w:hAnsi="Times New Roman" w:cs="Times New Roman"/>
          <w:spacing w:val="-1"/>
          <w:sz w:val="28"/>
          <w:szCs w:val="28"/>
        </w:rPr>
        <w:t xml:space="preserve">0,12(ПДК-0,3)),а также по органолептическим показателям. Повышенное содержание тяжелых металлов  марганец и железа в подземных источниках </w:t>
      </w:r>
      <w:r w:rsidRPr="007F425D">
        <w:rPr>
          <w:rFonts w:ascii="Times New Roman" w:hAnsi="Times New Roman" w:cs="Times New Roman"/>
          <w:spacing w:val="-4"/>
          <w:sz w:val="28"/>
          <w:szCs w:val="28"/>
        </w:rPr>
        <w:t xml:space="preserve">обусловлено как природным повышенным содержанием металлов </w:t>
      </w:r>
      <w:r w:rsidRPr="007F425D">
        <w:rPr>
          <w:rFonts w:ascii="Times New Roman" w:hAnsi="Times New Roman" w:cs="Times New Roman"/>
          <w:spacing w:val="-2"/>
          <w:sz w:val="28"/>
          <w:szCs w:val="28"/>
        </w:rPr>
        <w:t>в водовмещающих породах и в почвах, подземных и поверхностных водах</w:t>
      </w:r>
      <w:r w:rsidRPr="007F425D">
        <w:rPr>
          <w:rFonts w:ascii="Times New Roman" w:hAnsi="Times New Roman" w:cs="Times New Roman"/>
          <w:spacing w:val="-4"/>
          <w:sz w:val="28"/>
          <w:szCs w:val="28"/>
        </w:rPr>
        <w:t xml:space="preserve"> на </w:t>
      </w:r>
      <w:r w:rsidRPr="007F425D">
        <w:rPr>
          <w:rFonts w:ascii="Times New Roman" w:hAnsi="Times New Roman" w:cs="Times New Roman"/>
          <w:spacing w:val="-2"/>
          <w:sz w:val="28"/>
          <w:szCs w:val="28"/>
        </w:rPr>
        <w:t>территориях горноскладчатого Урала, к которым относится г. Волчанск, подтверждается данными многолетних наблюдений и вызывается составом слагающих пород.</w:t>
      </w: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Водозаборные сооружения</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В настоящее время добыча подземной воды осуществляется на Северо-Волчанском водозаборе (артезианские скважины), состоящем из 4-х эксплуатационных (31,3,8,9э) и одной наблюдательной №2. Водозабор введен в эксплуатацию в 1966г; скважины №1,3,8 являются рабочими, скважина №9э находится в резерве. Лиховской водозабор, не работающий с мая 2009г., состоит из 2-х эксплуатационных скважин №6,7. Лиховской водозабор был введен в эксплуатацию в1982 году. Северо-Волчанский и Лиховской водозаборы расположены на территории Волчанского городского округа, в пределах Лиховского болота, Северо-Волчанский водозабор находится в 3,5км. западнее северной части г. Волчанска, в 3,7км.севернее г. Волчанка, на правом берегу  р. Мал. Лих, в 0,5км.от ее русла; Лиховской водозабор- в 0,6км западнее  Северо-Волчанского  водозабора, на правом берегу  р. Мал. Лих, в 0,04км. от ее русла. Северо-Волчанский водозаборный участок Волчанского МПВ разведан Уралгидроэкспедицией в 1958-1960 годы в полосе трещиноватых и закарстованных известняков. Для покрытия дефицита в хоз. Питьевой воде г. Волчанска в 1971году, западнее Северо-Волчанского водозабора, в долине рек Малый Лих Буланашской ГРП треста «Уралшахтогеология» разведан Лиховской водозаборный участок. Над устьями всех скважин установлены надкаптажные павильоны, устья скважин прочно герметизированы. Оголовки скважин № 1,3,9э находятся в бетонных воротниках. На водопроводящих трубах установлены манометры, имеются краны для отбора проб. Средствами для инструментального учета водоотбора скважины не оборудованы. Учет водоотбора на Северо-Волчанском, Лиховском водозаборе ведется  косвенным способом по производительности насосов, времени их работы  и расходу электроэнергии. Динамический уровень  воды замеряется уровнемерами. В рабочих скважинах № 1,3,8 установлены насосы марки: ЭЦВ 12-210*65 на глубине – 45м. В скважине № 9э насос и водопроводящие трубы демонтированы. Скважины закреплены глухими обсадными трубами и фильтрованными колоннами, а также щелевыми фильтрами.</w:t>
      </w: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Основные данные о водозаборе подземных вод МУП «Водоканал» г. Волчанска Свердловской обл.,(паспортные характеристики основного оборудования) приведены в таблице № 3</w:t>
      </w: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 xml:space="preserve">Характеристика  основного оборудования  водозаборов  подземных вод  </w:t>
      </w:r>
      <w:r w:rsidRPr="007F425D">
        <w:rPr>
          <w:rFonts w:ascii="Times New Roman" w:hAnsi="Times New Roman" w:cs="Times New Roman"/>
          <w:color w:val="auto"/>
          <w:sz w:val="28"/>
          <w:szCs w:val="28"/>
        </w:rPr>
        <w:t>I</w:t>
      </w:r>
      <w:r w:rsidRPr="007F425D">
        <w:rPr>
          <w:rFonts w:ascii="Times New Roman" w:hAnsi="Times New Roman" w:cs="Times New Roman"/>
          <w:color w:val="auto"/>
          <w:sz w:val="28"/>
          <w:szCs w:val="28"/>
          <w:lang w:val="ru-RU"/>
        </w:rPr>
        <w:t xml:space="preserve"> подъема.</w:t>
      </w:r>
    </w:p>
    <w:p w:rsidR="008B6C17" w:rsidRPr="007F425D" w:rsidRDefault="008B6C17" w:rsidP="007F425D">
      <w:pPr>
        <w:spacing w:line="240" w:lineRule="auto"/>
        <w:jc w:val="right"/>
        <w:rPr>
          <w:rFonts w:ascii="Times New Roman" w:hAnsi="Times New Roman" w:cs="Times New Roman"/>
          <w:sz w:val="24"/>
          <w:szCs w:val="24"/>
        </w:rPr>
      </w:pPr>
      <w:r w:rsidRPr="007F425D">
        <w:rPr>
          <w:rFonts w:ascii="Times New Roman" w:hAnsi="Times New Roman" w:cs="Times New Roman"/>
          <w:sz w:val="24"/>
          <w:szCs w:val="24"/>
        </w:rPr>
        <w:t>Таблица 3</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1093"/>
        <w:gridCol w:w="1080"/>
        <w:gridCol w:w="1260"/>
        <w:gridCol w:w="1417"/>
        <w:gridCol w:w="1463"/>
      </w:tblGrid>
      <w:tr w:rsidR="008B6C17" w:rsidRPr="007F425D">
        <w:trPr>
          <w:trHeight w:val="1359"/>
        </w:trPr>
        <w:tc>
          <w:tcPr>
            <w:tcW w:w="2093" w:type="dxa"/>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Характеристика основных данных водозаборов подземных вод</w:t>
            </w:r>
          </w:p>
        </w:tc>
        <w:tc>
          <w:tcPr>
            <w:tcW w:w="1134" w:type="dxa"/>
            <w:vAlign w:val="center"/>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Скважина№7</w:t>
            </w:r>
          </w:p>
        </w:tc>
        <w:tc>
          <w:tcPr>
            <w:tcW w:w="1093"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№6</w:t>
            </w:r>
          </w:p>
        </w:tc>
        <w:tc>
          <w:tcPr>
            <w:tcW w:w="1080"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№9э</w:t>
            </w:r>
          </w:p>
        </w:tc>
        <w:tc>
          <w:tcPr>
            <w:tcW w:w="1260"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№8</w:t>
            </w:r>
          </w:p>
        </w:tc>
        <w:tc>
          <w:tcPr>
            <w:tcW w:w="1417"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№3</w:t>
            </w:r>
          </w:p>
        </w:tc>
        <w:tc>
          <w:tcPr>
            <w:tcW w:w="1463"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w:t>
            </w:r>
          </w:p>
        </w:tc>
      </w:tr>
      <w:tr w:rsidR="008B6C17" w:rsidRPr="007F425D">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Назначение</w:t>
            </w:r>
          </w:p>
        </w:tc>
        <w:tc>
          <w:tcPr>
            <w:tcW w:w="7447" w:type="dxa"/>
            <w:gridSpan w:val="6"/>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 хозяйственно – питьевое водоснабжение</w:t>
            </w:r>
          </w:p>
        </w:tc>
      </w:tr>
      <w:tr w:rsidR="008B6C17" w:rsidRPr="007F425D">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Год бурения</w:t>
            </w:r>
          </w:p>
        </w:tc>
        <w:tc>
          <w:tcPr>
            <w:tcW w:w="1134"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1972</w:t>
            </w:r>
          </w:p>
        </w:tc>
        <w:tc>
          <w:tcPr>
            <w:tcW w:w="1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1972</w:t>
            </w:r>
          </w:p>
        </w:tc>
        <w:tc>
          <w:tcPr>
            <w:tcW w:w="108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1960</w:t>
            </w:r>
          </w:p>
        </w:tc>
        <w:tc>
          <w:tcPr>
            <w:tcW w:w="126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1987</w:t>
            </w:r>
          </w:p>
        </w:tc>
        <w:tc>
          <w:tcPr>
            <w:tcW w:w="1417"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1963</w:t>
            </w:r>
          </w:p>
        </w:tc>
        <w:tc>
          <w:tcPr>
            <w:tcW w:w="146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1962</w:t>
            </w:r>
          </w:p>
        </w:tc>
      </w:tr>
      <w:tr w:rsidR="008B6C17" w:rsidRPr="007F425D">
        <w:trPr>
          <w:trHeight w:val="634"/>
        </w:trPr>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Глубина скважины</w:t>
            </w:r>
          </w:p>
        </w:tc>
        <w:tc>
          <w:tcPr>
            <w:tcW w:w="1134"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08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49</w:t>
            </w:r>
          </w:p>
        </w:tc>
        <w:tc>
          <w:tcPr>
            <w:tcW w:w="126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417"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46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r>
      <w:tr w:rsidR="008B6C17" w:rsidRPr="007F425D">
        <w:trPr>
          <w:trHeight w:val="3129"/>
        </w:trPr>
        <w:tc>
          <w:tcPr>
            <w:tcW w:w="2093" w:type="dxa"/>
          </w:tcPr>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Характеристика оборудования</w:t>
            </w:r>
          </w:p>
        </w:tc>
        <w:tc>
          <w:tcPr>
            <w:tcW w:w="1134"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 тип  ЭЦВ – 10 – 65-65;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09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 тип  ЭЦВ -6-16-50 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08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12- 160-65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26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ЭЦВ-12-160-65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 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417"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12-160-65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46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r>
      <w:tr w:rsidR="008B6C17" w:rsidRPr="007F425D">
        <w:trPr>
          <w:trHeight w:val="861"/>
        </w:trPr>
        <w:tc>
          <w:tcPr>
            <w:tcW w:w="2093" w:type="dxa"/>
          </w:tcPr>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Оборудование устья</w:t>
            </w:r>
          </w:p>
        </w:tc>
        <w:tc>
          <w:tcPr>
            <w:tcW w:w="7447" w:type="dxa"/>
            <w:gridSpan w:val="6"/>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Воротник.                  Изоляция затрубья.                  Запорное устройство</w:t>
            </w:r>
          </w:p>
        </w:tc>
      </w:tr>
    </w:tbl>
    <w:p w:rsidR="008B6C17" w:rsidRPr="007F425D" w:rsidRDefault="008B6C17" w:rsidP="007F425D">
      <w:pPr>
        <w:spacing w:after="0" w:line="240" w:lineRule="auto"/>
        <w:ind w:firstLine="709"/>
        <w:jc w:val="both"/>
        <w:rPr>
          <w:rFonts w:ascii="Times New Roman" w:hAnsi="Times New Roman" w:cs="Times New Roman"/>
          <w:b/>
          <w:bCs/>
          <w:sz w:val="24"/>
          <w:szCs w:val="24"/>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Объем водопотребления составляет: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Проектная производительность- 12,5 тыс. м³/сутки;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Нормативное водопотребление – 6,4 тыс. м³/сутки;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Фактический водоотбор составляет – 3,7 тыс. м³/сутки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Благодаря наличию покровных, преимущественно глинистых отложений повышенной мощности в кровле продуктивного водоносного горизонта, при отсутствии открытых карстовых  форм в рельефе на водозаборных участках, подземные воды квалифицируются как защищенные от бактериального загрязнения и недостаточно защищенные от химического загрязнения.</w:t>
      </w: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Станция Лесная Волчанка</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Филиал ОАО «РЖД» г. Карпинска (Серовская дистанция гражданских сооружений водоснабжения и водоотведения) осуществляет услуги подъема и транспортировки питьевой воды потребителям станция Лесная Волчанка. На основании свидетельства о регистрации права Управления Федеральной регистрационной службы по Свердловской области №66-66-40/014/2009-471 от 16.07.2009</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утверждено  право собственности</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на артезианские скважины  расположенные по адресу в Свердловская область, МО г.Волчанск.ул.Станционная,35а</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площадью-2685,1м2.</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 xml:space="preserve">Для оказания услуг подъема  эксплуатируется два участка месторождения подземных питьевых вод. Год ввода в эксплуатацию-1950г. Назначение скважин – коммуникационные. По конструкции: бетонный фундамент, стены – стальные трубы. Глубина артезианских скважин-60 м. В настоящее время у недропользователя – филиала ОАО «РЖД» г. Карпинска имеется лицензия №01706 вида СВЕ серии ВЭ, действующая до 31.03.2029г.. Пользование недрами, добыча питьевых подземных вод  на водозаборных участках (В/У  ж .д. ст. Лесная Волчанка, Волчанский ГО, территория ж. д. ст. Лесная Волчанка(номер по ГУВ-624) предназначено  для хозяйственно-питьевого производственно-технического водоснабжения ж. д. ст. Лесная Волчанка и населения  пристанционного поселка. </w:t>
      </w:r>
      <w:r w:rsidRPr="007F425D">
        <w:rPr>
          <w:rStyle w:val="11"/>
          <w:i w:val="0"/>
          <w:iCs w:val="0"/>
          <w:color w:val="000000"/>
          <w:sz w:val="28"/>
          <w:szCs w:val="28"/>
        </w:rPr>
        <w:t xml:space="preserve">Источником хоз-питьевого водоснабжения поселка при станции Лесная Волчанка являются две артезианские скважины (№1 и №2), глубиной 60 метров каждая, расположенные в здании насосной станции, дебитом 37,5м3/час и 26,3м3/час соответственно (производительностью </w:t>
      </w:r>
      <w:r w:rsidRPr="007F425D">
        <w:rPr>
          <w:rStyle w:val="11"/>
          <w:i w:val="0"/>
          <w:iCs w:val="0"/>
          <w:sz w:val="28"/>
          <w:szCs w:val="28"/>
        </w:rPr>
        <w:t>0,768 тыс.м /сут.)</w:t>
      </w:r>
      <w:r w:rsidRPr="007F425D">
        <w:rPr>
          <w:rFonts w:ascii="Times New Roman" w:hAnsi="Times New Roman" w:cs="Times New Roman"/>
          <w:sz w:val="28"/>
          <w:szCs w:val="28"/>
        </w:rPr>
        <w:t xml:space="preserve">. Разрешенная величина водоотбора  составляет 37,5 тыс.м3/сут., без утверждения запасов подземных вод на 01.03.2011г. Скважины водозаборного участка «Лесная Волчанка  (№ 1 и 2), используемые для системы горячего водоснабжения Северной части не имеют утвержденных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Временно ЗСО установлены Главным Управлением природных ресурсов и охраны окружающей среды МПР для «РЖД» в следующих границах:</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пояс- радиусом 50 м вокруг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пояс радиусом 90 м вокруг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 – в площади формирования ресурсов участка – 0,27 км</w:t>
      </w:r>
      <w:r w:rsidRPr="007F425D">
        <w:rPr>
          <w:rFonts w:ascii="Times New Roman" w:hAnsi="Times New Roman" w:cs="Times New Roman"/>
          <w:sz w:val="28"/>
          <w:szCs w:val="28"/>
          <w:vertAlign w:val="superscript"/>
        </w:rPr>
        <w:t xml:space="preserve"> 2</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R</w:t>
      </w:r>
      <w:r w:rsidRPr="007F425D">
        <w:rPr>
          <w:rFonts w:ascii="Times New Roman" w:hAnsi="Times New Roman" w:cs="Times New Roman"/>
          <w:sz w:val="28"/>
          <w:szCs w:val="28"/>
        </w:rPr>
        <w:t>~ 300м).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Данные о качестве питьевой  воды водозабора станции Лесная Волчанка по физико-химическим показателям за 2014г. приведены в таблице 4</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Сводная таблица результатов анализов</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водозабора  на ст. Лесная Волчанка за 1-ое полугодие  2014 г.</w:t>
      </w:r>
    </w:p>
    <w:p w:rsidR="008B6C17" w:rsidRPr="007F425D" w:rsidRDefault="008B6C17" w:rsidP="007F425D">
      <w:pPr>
        <w:autoSpaceDE w:val="0"/>
        <w:autoSpaceDN w:val="0"/>
        <w:adjustRightInd w:val="0"/>
        <w:spacing w:after="0" w:line="240" w:lineRule="auto"/>
        <w:jc w:val="both"/>
        <w:rPr>
          <w:rFonts w:ascii="Times New Roman" w:hAnsi="Times New Roman" w:cs="Times New Roman"/>
          <w:spacing w:val="-1"/>
          <w:sz w:val="28"/>
          <w:szCs w:val="28"/>
        </w:rPr>
      </w:pPr>
    </w:p>
    <w:p w:rsidR="008B6C17" w:rsidRPr="007F425D" w:rsidRDefault="008B6C17" w:rsidP="007F425D">
      <w:pPr>
        <w:autoSpaceDE w:val="0"/>
        <w:autoSpaceDN w:val="0"/>
        <w:adjustRightInd w:val="0"/>
        <w:spacing w:after="0" w:line="240" w:lineRule="auto"/>
        <w:jc w:val="right"/>
        <w:rPr>
          <w:rFonts w:ascii="Times New Roman" w:hAnsi="Times New Roman" w:cs="Times New Roman"/>
          <w:spacing w:val="-1"/>
          <w:sz w:val="28"/>
          <w:szCs w:val="28"/>
        </w:rPr>
      </w:pPr>
      <w:r w:rsidRPr="007F425D">
        <w:rPr>
          <w:rFonts w:ascii="Times New Roman" w:hAnsi="Times New Roman" w:cs="Times New Roman"/>
          <w:spacing w:val="-1"/>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4"/>
        <w:gridCol w:w="3654"/>
        <w:gridCol w:w="1579"/>
        <w:gridCol w:w="3654"/>
      </w:tblGrid>
      <w:tr w:rsidR="008B6C17" w:rsidRPr="007F425D">
        <w:trPr>
          <w:trHeight w:val="645"/>
          <w:tblHeader/>
          <w:jc w:val="center"/>
        </w:trPr>
        <w:tc>
          <w:tcPr>
            <w:tcW w:w="35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190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825"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Средние показатели</w:t>
            </w:r>
          </w:p>
        </w:tc>
        <w:tc>
          <w:tcPr>
            <w:tcW w:w="1910" w:type="pct"/>
            <w:tcBorders>
              <w:top w:val="single" w:sz="4" w:space="0" w:color="auto"/>
            </w:tcBorders>
          </w:tcPr>
          <w:p w:rsidR="008B6C17" w:rsidRPr="007F425D" w:rsidRDefault="008B6C17" w:rsidP="007F425D">
            <w:pPr>
              <w:pStyle w:val="10"/>
              <w:spacing w:before="0" w:after="0"/>
              <w:jc w:val="both"/>
              <w:rPr>
                <w:rFonts w:ascii="Times New Roman" w:hAnsi="Times New Roman" w:cs="Times New Roman"/>
                <w:sz w:val="24"/>
                <w:szCs w:val="24"/>
              </w:rPr>
            </w:pPr>
            <w:r w:rsidRPr="007F425D">
              <w:rPr>
                <w:rFonts w:ascii="Times New Roman" w:hAnsi="Times New Roman" w:cs="Times New Roman"/>
                <w:sz w:val="24"/>
                <w:szCs w:val="24"/>
              </w:rPr>
              <w:t>ПДК, ГОСТ 2761-84</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Цветность, град</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Мутность,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Запах, балл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Привкус</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pH, ед.pH</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Жесткость общ.</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r>
      <w:tr w:rsidR="008B6C17" w:rsidRPr="007F425D">
        <w:trPr>
          <w:trHeight w:val="622"/>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Окисляемость перманганатная,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1,707</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Сухой остаток,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Аммиак, ионы аммония сумм,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Нитрит-ион,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0,002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9,35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Хлорид-ион,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22,0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Сульфат-ион,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90,79</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Полифосфат-ион,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Алюминий,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0,5</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Железо сумм,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0,092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Марганец ,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0,002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0,1</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Медь,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c>
          <w:tcPr>
            <w:tcW w:w="1909"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Фторид-ион, мг/л</w:t>
            </w:r>
          </w:p>
        </w:tc>
        <w:tc>
          <w:tcPr>
            <w:tcW w:w="825"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0,387</w:t>
            </w:r>
          </w:p>
        </w:tc>
        <w:tc>
          <w:tcPr>
            <w:tcW w:w="1910"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bl>
    <w:p w:rsidR="008B6C17" w:rsidRPr="007F425D" w:rsidRDefault="008B6C17" w:rsidP="007F425D">
      <w:pPr>
        <w:tabs>
          <w:tab w:val="left" w:pos="1080"/>
        </w:tabs>
        <w:spacing w:after="0" w:line="240" w:lineRule="auto"/>
        <w:ind w:firstLine="709"/>
        <w:jc w:val="both"/>
        <w:rPr>
          <w:rFonts w:ascii="Times New Roman" w:hAnsi="Times New Roman" w:cs="Times New Roman"/>
          <w:b/>
          <w:bCs/>
          <w:sz w:val="24"/>
          <w:szCs w:val="24"/>
        </w:rPr>
      </w:pPr>
    </w:p>
    <w:p w:rsidR="008B6C17" w:rsidRPr="007F425D" w:rsidRDefault="008B6C17" w:rsidP="007F425D">
      <w:pPr>
        <w:tabs>
          <w:tab w:val="left" w:pos="1080"/>
        </w:tabs>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Поселок Вьюжный</w:t>
      </w:r>
    </w:p>
    <w:p w:rsidR="008B6C17" w:rsidRPr="007F425D" w:rsidRDefault="008B6C17" w:rsidP="007F425D">
      <w:pPr>
        <w:tabs>
          <w:tab w:val="left" w:pos="1080"/>
        </w:tabs>
        <w:spacing w:after="0" w:line="240" w:lineRule="auto"/>
        <w:ind w:firstLine="709"/>
        <w:jc w:val="center"/>
        <w:rPr>
          <w:rFonts w:ascii="Times New Roman" w:hAnsi="Times New Roman" w:cs="Times New Roman"/>
          <w:b/>
          <w:bCs/>
          <w:sz w:val="28"/>
          <w:szCs w:val="28"/>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ОАО «Волчанское» осуществляет в поселке Вьюжный услуги подъема и транспортировки питьевой воды потребителям поселка. Для оказания услуг подъема эксплуатируется  два участка месторождения подземных питьевых вод. Водопользователем  ОАО  «Волчанское»  в 2011 год, получена лицензия № 02518 вида СВЕ серии ВЭ, действующей до 30.04.2033 года, на пользование недрами, добычу питьевых подземных вод  на водозаборных участках (В/У Волчанское, Волчанский ГО, п. Вьюжный, в 0,64-0,67 км.,  южнее жилой застройки (номер по ГУВ-1058) предназначено для хозяйственно-питьевого и производственно-технического водоснабжения. Источником  хоз-питьевого  водоснабжения п. Вьюжный являются артезианские скважины  (№1, №2 и №3-рез.) ОАО «Волчанское» с прогнозными эксплуатационными ресурсами 360-470 м3/сут. («Гидрогеологическое заключение»  ОАО «Уралгидроэкспедиции» № 16969 от 18.08.2006год). Разрешенная величина водоотбора -157 тыс.м3/сут., без утверждения запасов подземных вод на 01.03.2011год.</w:t>
      </w:r>
    </w:p>
    <w:p w:rsidR="008B6C17" w:rsidRPr="007F425D" w:rsidRDefault="008B6C17" w:rsidP="007F425D">
      <w:pPr>
        <w:tabs>
          <w:tab w:val="left" w:pos="1080"/>
        </w:tabs>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sz w:val="28"/>
          <w:szCs w:val="28"/>
        </w:rPr>
        <w:t>Источником хоз-питьевого водоснабжения поселка принимаются артезианские скважины (№1, №2 и №3-рез.) ОАО «Волчанское» с прогнозными эксплуатационными ресурсами 360-470 м3/сут.</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Зоны санитарной охраны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вокруг скважин установлены в соответствии с расчетами, приведенными в  гидрогеологическом заключении об условиях недропользования, разработанном  ОАО «Уралгидроэкспедиция» (№16969 от 18.08.2006г).</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Границы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вокруг скважин установлены в заключении ОАО «Уралгидроэкспедиция» при эксплуатационном водоотборе из скважин до 150,7 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 xml:space="preserve">/сут. В генплане поселка предусматривается увеличение  водопотребления (в размерах, не превышающих прогнозные эксплуатационные ресурсы по скважинам) по поселку с учетом проектируемого развития жилищно-коммунального сектора и сельскохозяйственных объектов. В связи с увеличением водопотребления по поселку  при разработке проекта зон санитарной охраны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границы зон вокруг скважин должны быть уточнены.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Размеры границ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составляют:</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пояса – радиусом  50 м от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пояса – в северном и южном направлении на удалении 120 м от скважин, в   восточном на удалении 80 м от скважин, в западном – на удалении 120 м от скважин;</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 в западном направлении на удалении 350 м от скважин – граница по полотну железной дороги, в  восточном – на удалении 100 м от скважин, в южном и северном – в 350 м от скважин.</w:t>
      </w:r>
    </w:p>
    <w:p w:rsidR="008B6C17" w:rsidRPr="007F425D" w:rsidRDefault="008B6C17" w:rsidP="007F425D">
      <w:pPr>
        <w:pStyle w:val="BodyTextIndent"/>
        <w:tabs>
          <w:tab w:val="left" w:pos="1080"/>
        </w:tabs>
        <w:ind w:firstLine="709"/>
        <w:jc w:val="both"/>
        <w:rPr>
          <w:rFonts w:ascii="Times New Roman" w:hAnsi="Times New Roman" w:cs="Times New Roman"/>
        </w:rPr>
      </w:pPr>
      <w:r w:rsidRPr="007F425D">
        <w:rPr>
          <w:rFonts w:ascii="Times New Roman" w:hAnsi="Times New Roman" w:cs="Times New Roman"/>
        </w:rPr>
        <w:t xml:space="preserve">Проектом  генерального плана определены нормативные размеры санитарно-защитных зон промышленных предприятий и коммунальных объектов пос. Вьюжный, установленные  с учетом суммарных выбросов в атмосферный воздух и физического воздействия источников, в соответствии с санитарной классификации СанПиН 2.2.1/2.1.1.1200-03.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Нормативные размеры СЗЗ приведены в таблице 5</w:t>
      </w:r>
    </w:p>
    <w:p w:rsidR="008B6C17" w:rsidRPr="007F425D" w:rsidRDefault="008B6C17" w:rsidP="007F425D">
      <w:pPr>
        <w:tabs>
          <w:tab w:val="left" w:pos="1080"/>
        </w:tabs>
        <w:spacing w:line="240" w:lineRule="auto"/>
        <w:ind w:firstLine="720"/>
        <w:jc w:val="right"/>
        <w:rPr>
          <w:rFonts w:ascii="Times New Roman" w:hAnsi="Times New Roman" w:cs="Times New Roman"/>
          <w:sz w:val="28"/>
          <w:szCs w:val="28"/>
        </w:rPr>
      </w:pPr>
      <w:r w:rsidRPr="007F425D">
        <w:rPr>
          <w:rFonts w:ascii="Times New Roman" w:hAnsi="Times New Roman" w:cs="Times New Roman"/>
          <w:sz w:val="28"/>
          <w:szCs w:val="28"/>
        </w:rPr>
        <w:t>Таблица 5</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2899"/>
        <w:gridCol w:w="1843"/>
        <w:gridCol w:w="1843"/>
        <w:gridCol w:w="2135"/>
      </w:tblGrid>
      <w:tr w:rsidR="008B6C17" w:rsidRPr="007F425D">
        <w:trPr>
          <w:cantSplit/>
          <w:tblHeader/>
        </w:trPr>
        <w:tc>
          <w:tcPr>
            <w:tcW w:w="410"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по</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экспл.</w:t>
            </w:r>
          </w:p>
        </w:tc>
        <w:tc>
          <w:tcPr>
            <w:tcW w:w="1606"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предприятия</w:t>
            </w:r>
          </w:p>
        </w:tc>
        <w:tc>
          <w:tcPr>
            <w:tcW w:w="889" w:type="pct"/>
            <w:vAlign w:val="center"/>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 xml:space="preserve">Сан. классификация по СанПиН 2.2.1/2.1.120003 </w:t>
            </w:r>
          </w:p>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на 01.01.2007</w:t>
            </w:r>
          </w:p>
        </w:tc>
        <w:tc>
          <w:tcPr>
            <w:tcW w:w="889" w:type="pct"/>
            <w:vAlign w:val="center"/>
          </w:tcPr>
          <w:p w:rsidR="008B6C17" w:rsidRPr="007F425D" w:rsidRDefault="008B6C17" w:rsidP="007F425D">
            <w:pPr>
              <w:pStyle w:val="BodyText2"/>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Размер СЗЗ на 01.01.2007</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СанПиН 2.2.1/2.1.120003</w:t>
            </w:r>
          </w:p>
        </w:tc>
        <w:tc>
          <w:tcPr>
            <w:tcW w:w="1206"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Примечание</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(СанПиН 2.2.1./2.1.1200-03)</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Новая редакция</w:t>
            </w:r>
          </w:p>
        </w:tc>
      </w:tr>
      <w:tr w:rsidR="008B6C17" w:rsidRPr="007F425D">
        <w:trPr>
          <w:cantSplit/>
          <w:tblHeader/>
        </w:trPr>
        <w:tc>
          <w:tcPr>
            <w:tcW w:w="410" w:type="pct"/>
          </w:tcPr>
          <w:p w:rsidR="008B6C17" w:rsidRPr="007F425D" w:rsidRDefault="008B6C17" w:rsidP="007F425D">
            <w:pPr>
              <w:tabs>
                <w:tab w:val="center" w:pos="197"/>
              </w:tabs>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ab/>
              <w:t>1.</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Тепличное хозяйство</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p w:rsidR="008B6C17" w:rsidRPr="007F425D" w:rsidRDefault="008B6C17" w:rsidP="007F425D">
            <w:pPr>
              <w:spacing w:line="240" w:lineRule="auto"/>
              <w:jc w:val="both"/>
              <w:rPr>
                <w:rFonts w:ascii="Times New Roman" w:hAnsi="Times New Roman" w:cs="Times New Roman"/>
                <w:sz w:val="24"/>
                <w:szCs w:val="24"/>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p w:rsidR="008B6C17" w:rsidRPr="007F425D" w:rsidRDefault="008B6C17" w:rsidP="007F425D">
            <w:pPr>
              <w:spacing w:line="240" w:lineRule="auto"/>
              <w:jc w:val="both"/>
              <w:rPr>
                <w:rFonts w:ascii="Times New Roman" w:hAnsi="Times New Roman" w:cs="Times New Roman"/>
                <w:sz w:val="24"/>
                <w:szCs w:val="24"/>
              </w:rPr>
            </w:pP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(7.1.11- 100м – п.1)</w:t>
            </w:r>
          </w:p>
        </w:tc>
      </w:tr>
      <w:tr w:rsidR="008B6C17" w:rsidRPr="007F425D">
        <w:trPr>
          <w:cantSplit/>
          <w:tblHeader/>
        </w:trPr>
        <w:tc>
          <w:tcPr>
            <w:tcW w:w="410" w:type="pct"/>
          </w:tcPr>
          <w:p w:rsidR="008B6C17" w:rsidRPr="007F425D" w:rsidRDefault="008B6C17" w:rsidP="007F425D">
            <w:pPr>
              <w:tabs>
                <w:tab w:val="center" w:pos="197"/>
              </w:tabs>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6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Склад ГСМ</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(7.1.11 – 100м – п.7)</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Машинотракторные мастерские </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(не функционируют)</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(7.1.12-100м – п.2</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Ферма крупного рогатого скота:</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Площадка содержания дойного стада менее 1200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300</w:t>
            </w:r>
          </w:p>
          <w:p w:rsidR="008B6C17" w:rsidRPr="007F425D" w:rsidRDefault="008B6C17" w:rsidP="007F425D">
            <w:pPr>
              <w:spacing w:line="240" w:lineRule="auto"/>
              <w:jc w:val="both"/>
              <w:rPr>
                <w:rFonts w:ascii="Times New Roman" w:hAnsi="Times New Roman" w:cs="Times New Roman"/>
                <w:sz w:val="24"/>
                <w:szCs w:val="24"/>
              </w:rPr>
            </w:pP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p>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 300м – п.2)</w:t>
            </w:r>
          </w:p>
          <w:p w:rsidR="008B6C17" w:rsidRPr="007F425D" w:rsidRDefault="008B6C17" w:rsidP="007F425D">
            <w:pPr>
              <w:spacing w:line="240" w:lineRule="auto"/>
              <w:jc w:val="both"/>
              <w:rPr>
                <w:rFonts w:ascii="Times New Roman" w:hAnsi="Times New Roman" w:cs="Times New Roman"/>
                <w:sz w:val="24"/>
                <w:szCs w:val="24"/>
              </w:rPr>
            </w:pP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Площадка содержания молодняка до 100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00м – п.</w:t>
            </w:r>
            <w:r w:rsidRPr="007F425D">
              <w:rPr>
                <w:rFonts w:ascii="Times New Roman" w:hAnsi="Times New Roman" w:cs="Times New Roman"/>
                <w:sz w:val="24"/>
                <w:szCs w:val="24"/>
                <w:lang w:val="en-US"/>
              </w:rPr>
              <w:t>6</w:t>
            </w:r>
            <w:r w:rsidRPr="007F425D">
              <w:rPr>
                <w:rFonts w:ascii="Times New Roman" w:hAnsi="Times New Roman" w:cs="Times New Roman"/>
                <w:sz w:val="24"/>
                <w:szCs w:val="24"/>
              </w:rPr>
              <w:t>)</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Ферма по выращиванию свиней (до 100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00м – п.</w:t>
            </w:r>
            <w:r w:rsidRPr="007F425D">
              <w:rPr>
                <w:rFonts w:ascii="Times New Roman" w:hAnsi="Times New Roman" w:cs="Times New Roman"/>
                <w:sz w:val="24"/>
                <w:szCs w:val="24"/>
                <w:lang w:val="en-US"/>
              </w:rPr>
              <w:t>6</w:t>
            </w:r>
            <w:r w:rsidRPr="007F425D">
              <w:rPr>
                <w:rFonts w:ascii="Times New Roman" w:hAnsi="Times New Roman" w:cs="Times New Roman"/>
                <w:sz w:val="24"/>
                <w:szCs w:val="24"/>
              </w:rPr>
              <w:t>)</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6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Материальные склады</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50м – п.2)</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Бойня (скотоубойный объект мощностью 50-500 тонн в сутки)</w:t>
            </w:r>
          </w:p>
        </w:tc>
        <w:tc>
          <w:tcPr>
            <w:tcW w:w="889" w:type="pct"/>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lang w:val="en-US"/>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300</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(7.1.8 – 300м – п.2)</w:t>
            </w:r>
          </w:p>
          <w:p w:rsidR="008B6C17" w:rsidRPr="007F425D" w:rsidRDefault="008B6C17" w:rsidP="007F425D">
            <w:pPr>
              <w:spacing w:line="240" w:lineRule="auto"/>
              <w:jc w:val="both"/>
              <w:rPr>
                <w:rFonts w:ascii="Times New Roman" w:hAnsi="Times New Roman" w:cs="Times New Roman"/>
                <w:sz w:val="24"/>
                <w:szCs w:val="24"/>
              </w:rPr>
            </w:pP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Навозохранилище (площадка для буртования навоза)</w:t>
            </w:r>
          </w:p>
        </w:tc>
        <w:tc>
          <w:tcPr>
            <w:tcW w:w="889" w:type="pct"/>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lang w:val="en-US"/>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300</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 300м – п.5)</w:t>
            </w:r>
          </w:p>
          <w:p w:rsidR="008B6C17" w:rsidRPr="007F425D" w:rsidRDefault="008B6C17" w:rsidP="007F425D">
            <w:pPr>
              <w:spacing w:line="240" w:lineRule="auto"/>
              <w:jc w:val="both"/>
              <w:rPr>
                <w:rFonts w:ascii="Times New Roman" w:hAnsi="Times New Roman" w:cs="Times New Roman"/>
                <w:sz w:val="24"/>
                <w:szCs w:val="24"/>
              </w:rPr>
            </w:pPr>
          </w:p>
        </w:tc>
      </w:tr>
    </w:tbl>
    <w:p w:rsidR="008B6C17" w:rsidRPr="007F425D" w:rsidRDefault="008B6C17" w:rsidP="007F425D">
      <w:pPr>
        <w:tabs>
          <w:tab w:val="left" w:pos="1080"/>
        </w:tabs>
        <w:spacing w:after="0" w:line="240" w:lineRule="auto"/>
        <w:ind w:firstLine="709"/>
        <w:jc w:val="both"/>
        <w:rPr>
          <w:rFonts w:ascii="Times New Roman" w:hAnsi="Times New Roman" w:cs="Times New Roman"/>
          <w:sz w:val="24"/>
          <w:szCs w:val="24"/>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артезианскими скважинами (пресными подземными водами в южном, северном и западном дренажных узлах) в г. Волчанске пользуются организации-недропользователи, промышленные предприятия: филиал «Волчанский разрез» ОАО «Волчанский уголь», Волчанский механический завод ОАО «Научно-производственная корпорация Уралвагонзавод имени Ф. Э. Дзержинского». Согласно лицензии № 02915 вида СВЕ серии ВЭ (31.03.2013г.),протокола НТС ПГО «Уралгеология» от 30.11.1982г. №64 и ТКЗ №8 от28.08.1981г., подземные воды используют как  хозяйственно-питьевого, так и производственно-технического водоснабжения. Месторасположение участка: Волчанское МПВ, Дренажный участок, Волчанское ГО, разрез Волчанский. Действие лицензии завершен.</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Предприятие Волчанский  механический  завод -  филиал  ОАО  «Научно-производственная корпорация  «Уралвагонзавод» оказывает  услуги  холодного  водоснабжения на территории города. Вода из скважин № 14, 15 подается глубинными насосами (ЭЦВ 12-63 45 кВт) в резервуары  холодной  воды V = 500 куб. м., затем после  резервуаров  вода  попадает потребителям  через  сетевые насосы. Водоподготовка  не  осуществляется. Водозаборные сооружения, представляют артезианские скважины, оборудованные глубинными насосами. Технические характеристики водозаборных сооружений приведены в таблице 6.</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p>
    <w:p w:rsidR="008B6C17" w:rsidRPr="007F425D" w:rsidRDefault="008B6C17" w:rsidP="007F425D">
      <w:pPr>
        <w:tabs>
          <w:tab w:val="left" w:pos="1080"/>
        </w:tabs>
        <w:spacing w:line="240" w:lineRule="auto"/>
        <w:jc w:val="right"/>
        <w:rPr>
          <w:rFonts w:ascii="Times New Roman" w:hAnsi="Times New Roman" w:cs="Times New Roman"/>
          <w:sz w:val="28"/>
          <w:szCs w:val="28"/>
        </w:rPr>
      </w:pPr>
      <w:r w:rsidRPr="007F425D">
        <w:rPr>
          <w:rFonts w:ascii="Times New Roman" w:hAnsi="Times New Roman" w:cs="Times New Roman"/>
          <w:sz w:val="28"/>
          <w:szCs w:val="28"/>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0"/>
        <w:gridCol w:w="4102"/>
        <w:gridCol w:w="3759"/>
      </w:tblGrid>
      <w:tr w:rsidR="008B6C17" w:rsidRPr="007F425D">
        <w:trPr>
          <w:jc w:val="center"/>
        </w:trPr>
        <w:tc>
          <w:tcPr>
            <w:tcW w:w="89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Источник водоснабжения</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Тип водоприемного устройства</w:t>
            </w:r>
          </w:p>
        </w:tc>
      </w:tr>
      <w:tr w:rsidR="008B6C17" w:rsidRPr="007F425D">
        <w:trPr>
          <w:jc w:val="center"/>
        </w:trPr>
        <w:tc>
          <w:tcPr>
            <w:tcW w:w="893"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Артезианская скважина №14</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Глубинный насос</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ЭЦВ 12-63 45 кВт</w:t>
            </w:r>
          </w:p>
        </w:tc>
      </w:tr>
      <w:tr w:rsidR="008B6C17" w:rsidRPr="007F425D">
        <w:trPr>
          <w:jc w:val="center"/>
        </w:trPr>
        <w:tc>
          <w:tcPr>
            <w:tcW w:w="893"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Артезианская скважина №15</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Глубинный насос</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ЭЦВ 12-63 45 кВт</w:t>
            </w:r>
          </w:p>
        </w:tc>
      </w:tr>
    </w:tbl>
    <w:p w:rsidR="008B6C17" w:rsidRPr="007F425D" w:rsidRDefault="008B6C17" w:rsidP="007F425D">
      <w:pPr>
        <w:pStyle w:val="Heading3"/>
        <w:spacing w:before="0" w:line="240" w:lineRule="auto"/>
        <w:jc w:val="center"/>
        <w:rPr>
          <w:rFonts w:ascii="Times New Roman" w:hAnsi="Times New Roman" w:cs="Times New Roman"/>
          <w:color w:val="auto"/>
          <w:sz w:val="28"/>
          <w:szCs w:val="28"/>
        </w:rPr>
      </w:pPr>
      <w:bookmarkStart w:id="6" w:name="_Toc366077990"/>
      <w:bookmarkStart w:id="7" w:name="_Toc383443679"/>
      <w:bookmarkStart w:id="8" w:name="_Toc402374589"/>
    </w:p>
    <w:p w:rsidR="008B6C17" w:rsidRPr="007F425D" w:rsidRDefault="008B6C17" w:rsidP="007F425D">
      <w:pPr>
        <w:pStyle w:val="Heading3"/>
        <w:spacing w:before="0" w:line="240" w:lineRule="auto"/>
        <w:jc w:val="center"/>
        <w:rPr>
          <w:rFonts w:ascii="Times New Roman" w:hAnsi="Times New Roman" w:cs="Times New Roman"/>
          <w:color w:val="auto"/>
          <w:sz w:val="28"/>
          <w:szCs w:val="28"/>
        </w:rPr>
      </w:pPr>
      <w:r w:rsidRPr="007F425D">
        <w:rPr>
          <w:rFonts w:ascii="Times New Roman" w:hAnsi="Times New Roman" w:cs="Times New Roman"/>
          <w:color w:val="auto"/>
          <w:sz w:val="28"/>
          <w:szCs w:val="28"/>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bookmarkEnd w:id="6"/>
      <w:bookmarkEnd w:id="7"/>
      <w:bookmarkEnd w:id="8"/>
    </w:p>
    <w:p w:rsidR="008B6C17" w:rsidRPr="007F425D" w:rsidRDefault="008B6C17" w:rsidP="007F425D">
      <w:pPr>
        <w:spacing w:after="0" w:line="240" w:lineRule="auto"/>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Комплекс водоочистных сооружений (КВОС).</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Для оказания услуг по обеспечению водоснабжения населения и промышленных предприятий города, МУП «Водоканал» эксплуатирует комплекс водоочистных сооружений (КВОС). Комплекс  очистных сооружений северной и южной части города расположен по адресу: Российская Федерация, Свердловская область, г. Волчанск, ул. Пионерская, д. 14.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Объект «Хозяйственно питьевого водоснабжения» размещён на участке городского водоснабжения ул. Инженерная 1 – ул. Инженерная 2 производительностью12,5 тыс.м</w:t>
      </w:r>
      <w:r w:rsidRPr="007F425D">
        <w:rPr>
          <w:rFonts w:ascii="Times New Roman" w:hAnsi="Times New Roman" w:cs="Times New Roman"/>
          <w:sz w:val="28"/>
          <w:szCs w:val="28"/>
          <w:vertAlign w:val="superscript"/>
        </w:rPr>
        <w:t xml:space="preserve">3 </w:t>
      </w:r>
      <w:r w:rsidRPr="007F425D">
        <w:rPr>
          <w:rFonts w:ascii="Times New Roman" w:hAnsi="Times New Roman" w:cs="Times New Roman"/>
          <w:sz w:val="28"/>
          <w:szCs w:val="28"/>
        </w:rPr>
        <w:t>.</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Станция обезжелезивания воды подземных источников производительностью 12,5 тыс.м³/сутки построена  по типовому проекту 901-3-4, тип 1,0. Сооружения построены и пущены в эксплуатацию в 1978 год. Проект строительства выполнен  заказчиком ПО «Вахрушевуголь» и</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подрядчиком – трест «Базстрой». С 01.06.2010 год станция обезжелезивания находится в эксплуатации МУП «Водоканал».</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(далее – ЗСО). Проект ЗСО Северо-Волчанского и Лиховского водозаборов – источников питьевого, хозяйственно-бытового и технологического водоснабжеия г. Волчанска разработан</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ООО «Экомстройпроект»  03.12. 2013 году</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и утвержден  приказом № 842 от 3.12.2013 год, министерством природных ресурсов и экологии Свердловской области.</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Зоны санитарной охраны (ЗСО) вокруг скважин Волчанского МПВ определены в соответствии с гидрогеологическим заключением № 115/13 по обоснованию размеров зоны санитарной охраны Северо-Волчанского и Лиховского водозаборных участков Волчанского месторождения подземных вод, выполненного ООО «Экомстройпроект».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соответствии с требованиями СанПиН 2.1.4.1110-02 «Зоны санитарной охраны источников водоснабжения и водопроводов хозяйственно-питьевого назначения» вокруг подземного водоисточника хозяйственно-питьевого назначения и на основании расчетов, приведенных в заключении границы ЗСО для Северо-Волчанского и Лиховского участков установлена зона санитарной охраны (ЗСО) в составе трех поясов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 Северо-Волчанском водозаборе расположены контактная вентиляторная  градирня, станция обезжелезивания, насосная станция второго подъема, бетонированные резервуары чистой воды, хлораторная, угольная котельная, расположенная в здании станции обезжелезивания и используемая для собственных нужд, мастерская по ремонту оборудования, отстойник промывных вод.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Разработана схема водоснабжения и водоотведения и утверждена постановлением главы Волчанского городского округа «Об утверждении схемы водоснабжения и водоотведения Волчанского городского округа на период 2014-2018 годы» от 17.10.2014 г. № 859.</w:t>
      </w: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1.3. СИСТЕМА ВОДООТВЕДЕНИЯ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оказывает в г. Волчанске полный комплекс услуг водоотведения.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Особенности технологического цикла услуг канализационных очистных сооружений.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канализационных очистных сооружений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Северные очистные сооружения канализации (далее - СевОСК), производительностью 4,2 тыс.м.куб./сут.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Южные очистные сооружения канализации (далее - ЮОСК), производительностью 2,8 тыс.м.куб./сут.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северных очистных сооружений канализации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главная канализационная насосная станция (далее - КНС) с двумя насосами типа ФГ - 216/24;</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песколовка с круговым движением воды;</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первичные отстойники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высоконагружаемые биофильтры размером 12х12х4 м - две карты в отапливаемом помещении, </w:t>
      </w:r>
      <w:r w:rsidRPr="007F425D">
        <w:rPr>
          <w:rFonts w:ascii="Times New Roman" w:hAnsi="Times New Roman" w:cs="Times New Roman"/>
          <w:sz w:val="28"/>
          <w:szCs w:val="28"/>
          <w:lang w:val="en-US"/>
        </w:rPr>
        <w:t>Q</w:t>
      </w:r>
      <w:r w:rsidRPr="007F425D">
        <w:rPr>
          <w:rFonts w:ascii="Times New Roman" w:hAnsi="Times New Roman" w:cs="Times New Roman"/>
          <w:sz w:val="28"/>
          <w:szCs w:val="28"/>
        </w:rPr>
        <w:t xml:space="preserve"> = 4200 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Канализационная насосная станция (далее – КНС) для перекачки сточной воды из биофильтров во вторичные отстойники и подачи технологической воды на песколовку для удаления минерального осадка (насосы ФГ-216/24 - 2 шт., 4К-6);</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вторичные отстойники - 5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хлораторная с двумя хлораторами ЛОНИИ-100;</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контактные отстойники Д = 4,5 м, Н = 4,35 м – 2 шт;                                                                   Д = 6,0 м, Н =  4,35 м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насосная станция перекачки ила из вторичных отстойников в первичные (насосы ФГ - 216/24 - 1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песковая площадка размером 8,2 х 2,4 м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иловые площадки размером 13 х 20 м - 4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трансформаторная подстанция 6/0,4 кВ;</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блок   вспомогательных   служб   с   химической   лабораторией   и котельной на два котла «Энергия - ЗМ».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Контроль за качеством очистки производит водно-химическая лаборатория Сев.ОСК.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Отопление объектов ОСК осуществляется от местной котельной на твердом топливе.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Энергоснабжение осуществляется по 2-м ЛЭП 6 кВ и ТП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Водоснабжение - от хоз-питьевого водопровода, находящегося в ведении МУП «Водоканал».</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Южных ОСК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главная  канализационная  насосная станция (КНС) с  насосами типа ФГ - 540/95 и встроенный ТП.</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напорные коллекторы Д = 200 мм, </w:t>
      </w:r>
      <w:r w:rsidRPr="007F425D">
        <w:rPr>
          <w:rFonts w:ascii="Times New Roman" w:hAnsi="Times New Roman" w:cs="Times New Roman"/>
          <w:sz w:val="28"/>
          <w:szCs w:val="28"/>
          <w:lang w:val="en-US"/>
        </w:rPr>
        <w:t>L</w:t>
      </w:r>
      <w:r w:rsidRPr="007F425D">
        <w:rPr>
          <w:rFonts w:ascii="Times New Roman" w:hAnsi="Times New Roman" w:cs="Times New Roman"/>
          <w:sz w:val="28"/>
          <w:szCs w:val="28"/>
        </w:rPr>
        <w:t xml:space="preserve"> = 4,5 км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горизонтальная песколовка;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первичные отстойники Д = 8,5 м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высоконагружаемые биофильтры размером 26,5 х 8,5 м - две карты в отапливаемом помещении;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буферные резервуары Д = 5,8 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КНС открытого типа для перекачки сточной воды во вторичные отстойники с двумя насосами СДВ - 160/45;</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вторичные вертикальные отстойники Д = 8,5 м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хлораторная с двумя хлораторами ЛОНИИ - 100;</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контактные отстойники Д = 5,8 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песковая площадка - 1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иловые площадки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трансформаторная подстанция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блок   вспомогательных   служб   с   химической   лабораторией   и котельной на два котла «Энергия — 3 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Контроль за качеством очистки производит водно-химическая лаборатория Южных ОСК.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Отопление объектов ОСК осуществляется от местной котельной на твердом топливе.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Энергоснабжение осуществляется по 2-м ЛЭП 6 кВ и ТП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Водоснабжение осуществляется по трубопроводу Д = 100 мм, </w:t>
      </w:r>
      <w:r w:rsidRPr="007F425D">
        <w:rPr>
          <w:rFonts w:ascii="Times New Roman" w:hAnsi="Times New Roman" w:cs="Times New Roman"/>
          <w:sz w:val="28"/>
          <w:szCs w:val="28"/>
          <w:lang w:val="en-US"/>
        </w:rPr>
        <w:t>L</w:t>
      </w:r>
      <w:r w:rsidRPr="007F425D">
        <w:rPr>
          <w:rFonts w:ascii="Times New Roman" w:hAnsi="Times New Roman" w:cs="Times New Roman"/>
          <w:sz w:val="28"/>
          <w:szCs w:val="28"/>
        </w:rPr>
        <w:t xml:space="preserve"> = 1500 м от хоз-питьевого водопровода, находящегося в ведении ЗАО «Волчанский уголь»  филиала «Волчанский разрез». </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Особенности технологического цикла услуг канализационной сети</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оказывает также в г. Волчанске услуги канализационной сети, как в северной, так и в южной частях города.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В северной части города сточные воды, по самотёчным коллекторам и </w:t>
      </w:r>
      <w:r w:rsidRPr="007F425D">
        <w:rPr>
          <w:rFonts w:ascii="Times New Roman" w:hAnsi="Times New Roman" w:cs="Times New Roman"/>
          <w:sz w:val="28"/>
          <w:szCs w:val="28"/>
        </w:rPr>
        <w:t xml:space="preserve">напорным, от КНС МУП «Водоканал» по улице Первомайской с насосами ФГ -144/46 (2 шт.) и ФГ - 160/45 (1 шт.) и КНС Волчанского завода ТНП, </w:t>
      </w:r>
      <w:r w:rsidRPr="007F425D">
        <w:rPr>
          <w:rFonts w:ascii="Times New Roman" w:hAnsi="Times New Roman" w:cs="Times New Roman"/>
          <w:spacing w:val="-1"/>
          <w:sz w:val="28"/>
          <w:szCs w:val="28"/>
        </w:rPr>
        <w:t xml:space="preserve">поступают на главную КНС северных очистных сооружений канализации, </w:t>
      </w:r>
      <w:r w:rsidRPr="007F425D">
        <w:rPr>
          <w:rFonts w:ascii="Times New Roman" w:hAnsi="Times New Roman" w:cs="Times New Roman"/>
          <w:sz w:val="28"/>
          <w:szCs w:val="28"/>
        </w:rPr>
        <w:t>обеззараживаются на очистных и сбрасываются самотёком в реку Малая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Сточные воды от абонентов южной части г. Волчанска по самотёченым </w:t>
      </w:r>
      <w:r w:rsidRPr="007F425D">
        <w:rPr>
          <w:rFonts w:ascii="Times New Roman" w:hAnsi="Times New Roman" w:cs="Times New Roman"/>
          <w:spacing w:val="-2"/>
          <w:sz w:val="28"/>
          <w:szCs w:val="28"/>
        </w:rPr>
        <w:t xml:space="preserve">коллекторам попадают в приемную камеру главной КНС южных очистных </w:t>
      </w:r>
      <w:r w:rsidRPr="007F425D">
        <w:rPr>
          <w:rFonts w:ascii="Times New Roman" w:hAnsi="Times New Roman" w:cs="Times New Roman"/>
          <w:sz w:val="28"/>
          <w:szCs w:val="28"/>
        </w:rPr>
        <w:t xml:space="preserve">сооружений канализации. Затем, по напорным коллекторам попадают на площадку южных очистных сооружений в песколовку. Пройдя стадии </w:t>
      </w:r>
      <w:r w:rsidRPr="007F425D">
        <w:rPr>
          <w:rFonts w:ascii="Times New Roman" w:hAnsi="Times New Roman" w:cs="Times New Roman"/>
          <w:spacing w:val="-1"/>
          <w:sz w:val="28"/>
          <w:szCs w:val="28"/>
        </w:rPr>
        <w:t xml:space="preserve">очистки и обеззараживания, самотёком сбрасываются в реку Большая </w:t>
      </w:r>
      <w:r w:rsidRPr="007F425D">
        <w:rPr>
          <w:rFonts w:ascii="Times New Roman" w:hAnsi="Times New Roman" w:cs="Times New Roman"/>
          <w:sz w:val="28"/>
          <w:szCs w:val="28"/>
        </w:rPr>
        <w:t>Волчанка, согласно технологической схеме.</w:t>
      </w:r>
    </w:p>
    <w:p w:rsidR="008B6C17" w:rsidRPr="007F425D" w:rsidRDefault="008B6C17" w:rsidP="007F425D">
      <w:pPr>
        <w:spacing w:line="240" w:lineRule="auto"/>
        <w:ind w:firstLine="8789"/>
        <w:jc w:val="both"/>
        <w:rPr>
          <w:rFonts w:ascii="Times New Roman" w:hAnsi="Times New Roman" w:cs="Times New Roman"/>
          <w:sz w:val="28"/>
          <w:szCs w:val="28"/>
        </w:rPr>
      </w:pPr>
    </w:p>
    <w:p w:rsidR="008B6C17" w:rsidRPr="007F425D" w:rsidRDefault="008B6C17" w:rsidP="007F425D">
      <w:pPr>
        <w:spacing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1.4 СИСТЕМА ЭЛЕКТРОСНАБЖЕНИЯ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Эксплуатацией 177,4 км электрических сетей и 41 ТП на территории Волчанского городского округа занимается Волчанский участок ПО «Серовские электрические сети» филиал «Свердловэнерго» ОАО «МРСК Урала» Волчанский район электрических сетей.</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 территории города Волчанска 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 ОАО «МРСК Урала». </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Время работы светильников уличного освещения регулируется с декабря 2014 года при помощи систем управления уличным освещением и организацией многотарифного учета потребления электрической энергии. </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На территории Волчанского городского округа уличное освещение большей части центральных улиц и улиц частного сектора осуществляется светильниками с неэффективными дуговыми лампами высокого давления.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В целях экономии электропотребления уличного освещения необходимо модернизировать систему и объекты наружного освещения путем замены светильников уличного освещения с неэффективными дуговыми ртутными лампами высокого давления на новые с использованием светодиодных, многотарифный учет потребления электрической энергии.</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Ожидаемый экономический эффект – ежегодное 15% уменьшение объемов потребления электрической энергии. </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Мероприятие «Уличное освещение. Реконструкция систем и объектов наружного освещения путем замены светильников уличного освещения с неэффективными дуговыми лампами высокого давления на новые с использованием светодиодных, а также систем управления уличным освещением и организацией многотарифного учета потребления электрической энергии» соответствует целям подпрограммы 5 «Энергосбережение и повышение энергетической эффективности Свердловской области» Государственной программы «Развитие жилищно-коммунального хозяйства и повышение энергетической эффективности в Свердловской области до 2020 года, подпрограммы 5 «Энергосбережение и повышение энергетической эффективности Волчанского городского округа «Муниципальной программы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 Наращивание темпов комплексного оснащения средствами инструментального учета, контроля  и автоматического регулирования энергоносителей, стимулирование энергосбережения в бюджетной сфере, жилищно-коммунальном хозяйстве.</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Предусматриваются работы по реконструкции наружного электроосвещения центральных улиц и улиц частного сектора Волчанского ГО путем замены светильников уличного освещения с неэффективными дуговыми лампами высокого давления на новые с использованием светодиодных светильников, также работы по замене существующих неизолированных проводов проводом СИП.  Для внедрения автоматизированной системы управления и учета уличного освещения предусмотреть подключение модернизированных линий к шкафам управления, расположенных в соответствующих ТП.</w:t>
      </w:r>
    </w:p>
    <w:p w:rsidR="008B6C17" w:rsidRPr="007F425D" w:rsidRDefault="008B6C17" w:rsidP="007F425D">
      <w:pPr>
        <w:pStyle w:val="ConsPlusNonformat"/>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Срок реализации мероприятия – начало 2014  год, продолжение работ до 2030 года включительно. Планируются работы по реконструкция систем и объектов наружного освещения путем замены светильников уличного освещения с неэффективными дуговыми лампами высокого давления на новые с использованием светодиодных, а также систем управления уличным освещением и организацией многотарифного учета в рамках государственной программы Свердловской области «Развитие жилищно-коммунального хозяйства и повышение энергетической эффективности в Свердловской области до 2020 года» и муниципальной программы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подпрограмма 5 «Энергосбережение и повышение энергетической эффективности Волчанского городского округа». </w:t>
      </w:r>
    </w:p>
    <w:p w:rsidR="008B6C17" w:rsidRPr="007F425D" w:rsidRDefault="008B6C17" w:rsidP="007F425D">
      <w:pPr>
        <w:pStyle w:val="ConsPlusNonformat"/>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Экономические и социальные последствия реализации мероприятия: </w:t>
      </w:r>
    </w:p>
    <w:p w:rsidR="008B6C17" w:rsidRPr="007F425D" w:rsidRDefault="008B6C17" w:rsidP="007F425D">
      <w:pPr>
        <w:pStyle w:val="ConsPlusNonformat"/>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Планируемая экономия от реализации мероприятия - ожидаемый экономический эффект – ежегодное 15% уменьшение от объемов потребления электрической энергии. </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Цель реализации мероприятий (проведения работ): повышение экономической эффективности за счет следующих факторов:</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введения экономичного «ночного» режима освещения,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установка светодиодных светильников (раздел ЭН),</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использование меньших сечений проводов уличного освещения,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централизованного контроля технического состояния системы,</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обеспечение автоматизированного учета потребленной электроэнергии с выдачей информации на диспетчерский пункт,</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возможность использования электронных аппаратов, обеспечивающих увеличение ресурса ламп, возможность автоматического управления потребляемой мощностью, яркостью свечения, адресного управления светильниками (индивидуального или группового), проведение диагностики состояния каждого светильника с привязкой к месту его расположения,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Улучшение технических факторов:</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повышение надежности работы оборудования за счет применения блоков бесконтактной коммутации (симистор) силовых линий,</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оперативность централизованного или группового управления объектами наружного освещения,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оперативность контроля и выявление обрывов короткого замыкания в линиях, дистанционный сброс аварии, звуковая и световая сигнализации в случаях возникновения аварийных ситуаций,</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возможность архивирования получаемой информации и действий диспетчера, формирование отчетных журналов,</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возможность «привязки» контролируемых  пунктов к карте города,</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возможность резервирования канала связи с диспетчерским пунктом,</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Улучшение социальных факторов:</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повышение комфортности проживания населения,</w:t>
      </w:r>
    </w:p>
    <w:p w:rsidR="008B6C17" w:rsidRPr="007F425D" w:rsidRDefault="008B6C17" w:rsidP="007F425D">
      <w:pPr>
        <w:pStyle w:val="ConsPlusNonformat"/>
        <w:ind w:firstLine="709"/>
        <w:jc w:val="both"/>
        <w:rPr>
          <w:rFonts w:ascii="Times New Roman" w:hAnsi="Times New Roman" w:cs="Times New Roman"/>
          <w:sz w:val="28"/>
          <w:szCs w:val="28"/>
        </w:rPr>
      </w:pPr>
      <w:r w:rsidRPr="007F425D">
        <w:rPr>
          <w:rFonts w:ascii="Times New Roman" w:hAnsi="Times New Roman" w:cs="Times New Roman"/>
          <w:sz w:val="28"/>
          <w:szCs w:val="28"/>
        </w:rPr>
        <w:t>- повышение безопасности движения по улицам городского округа.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1.5 СИСТЕМА ГАЗОСНАБЖЕНИЯ</w:t>
      </w:r>
    </w:p>
    <w:p w:rsidR="008B6C17" w:rsidRPr="007F425D" w:rsidRDefault="008B6C17" w:rsidP="007F425D">
      <w:pPr>
        <w:spacing w:after="0" w:line="240" w:lineRule="auto"/>
        <w:ind w:firstLine="709"/>
        <w:jc w:val="center"/>
        <w:rPr>
          <w:rFonts w:ascii="Times New Roman" w:hAnsi="Times New Roman" w:cs="Times New Roman"/>
          <w:sz w:val="28"/>
          <w:szCs w:val="28"/>
        </w:rPr>
      </w:pP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сформированы мероприятия по газоснабжению на период до 2016 года.</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Проведены топографо-геодезические изыскательские работы для газоснабжения:</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кварталов №№ 44, 45, 52, 53 и 80 южной части города Волчанска (между ул. Малая окружная и Московская, Парковая, Уральского комсомола);</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по трассам проектируемых газопроводов низкого, среднего и высокого давления, а также газораспределительных пунктов.</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Планируется строительство котельной для газоснабжения МАОУ СОШ № 23 по ул. Молодежная в г. Волчанске Свердловской области, внутрипоселкового подземного газопровода высокого давления, подземного газопровода среднего давления и надземного газопровода низкого давления в северной, южной частях города Волчанска, в пос. Вьюжном.</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xml:space="preserve">Газификация частного сектора позволит улучшить качество жизни населения городского округа. </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Перевод на газ (строительство и модернизация) систем коммунальной инфраструктуры (сетей и объектов) значительно сократит непроизводительные расходы и обеспечить надежность работы систем теплоснабжения.</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caps/>
          <w:sz w:val="28"/>
          <w:szCs w:val="28"/>
        </w:rPr>
      </w:pP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caps/>
          <w:sz w:val="28"/>
          <w:szCs w:val="28"/>
        </w:rPr>
      </w:pPr>
      <w:r w:rsidRPr="007F425D">
        <w:rPr>
          <w:rFonts w:ascii="Times New Roman" w:hAnsi="Times New Roman" w:cs="Times New Roman"/>
          <w:caps/>
          <w:sz w:val="28"/>
          <w:szCs w:val="28"/>
        </w:rPr>
        <w:t>1.6 Система обращения с твердыми бытовыми отходами</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caps/>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Проблемы негативного воздействия на окружающую среду  отходов  производства и потребления являются актуальными для Волчанского городского округа и требуют постоянного внимания.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1993 году Свердловским филиалом «Урал» НПО «Эдельвейс» был разработан «Рабочий проект полигона для складирования твердых бытовых отходов города Волчанска» и введен в эксплуатацию в 1994 году.</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Согласно постановления Главы Волчанского городского округа от 25.05.2010г. № 357 «О закреплении обязательств по обслуживанию полигона по захоронению твердых бытовых отходов за муниципальным унитарным предприятием «Волчанский автоэлектротранспорт» с 01июня 2010 года полигон был передан муниципальному унитарному предприятию «Волчанский автоэлектротранспорт» для дальнейшей эксплуатации.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Одна из острых проблем - сложившаяся ситуация с утилизацией ТБО. Динамика и объемы образования ТБО в последнее время, свидетельствуют об их постоянном росте.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Так на городском полигоне ТБО в 2012 году было утилизировано 20,25 тыс. куб. м.  отходов, в 2013 году 22,92 тыс. куб. м, 2014 – 18,0 тыс. куб. м. отходов. На сегодняшний день полигон эксплуатируется с нарушением требований санитарного законодательства, а именно: отсутствует хозяйственная зона, территория не забетонирована, не заасфальтирована и не освещена, отсутствует обваловка и ограждение, отсутствуют контрольные скважины, отходы не уплотняются и прочие нарушения, что не обеспечивает безопасное в санитарно- гигиеническом отношении хранение и захоронение отходов, что создает угрозу здоровью населения и загрязнения окружающей среды.</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2003 году ООО НПП «Экостар-Т» произведена инвентаризация отходов производства и потребления МУП «Жилищно-коммунального хозяйства» г.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2014 году ООО «Промстройинжиниринг» (г.Екатеринбург) разработана проектно-сметная документация на строительство полигона для размещения твердых бытовых (коммунальных) отходов города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основании вышеуказанного проекта: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площадь полигона внутри ограждения должна составить 5,1 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санитарно-защитная зона по периметру – 50 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Финансовые вложения на строительство полигона площадью 5,1 га. в настоящее время составят ориентировочно 57263 тыс. руб. без учета потребности в необходимой специализированной технике. С учетом специальной автотранспортной техники размер финансовых вложений  на реализацию строительства полигона утилизации ТБО составит </w:t>
      </w:r>
      <w:r w:rsidRPr="007F425D">
        <w:rPr>
          <w:rFonts w:ascii="Times New Roman" w:hAnsi="Times New Roman" w:cs="Times New Roman"/>
          <w:sz w:val="28"/>
          <w:szCs w:val="28"/>
        </w:rPr>
        <w:sym w:font="Symbol" w:char="F0BB"/>
      </w:r>
      <w:r w:rsidRPr="007F425D">
        <w:rPr>
          <w:rFonts w:ascii="Times New Roman" w:hAnsi="Times New Roman" w:cs="Times New Roman"/>
          <w:sz w:val="28"/>
          <w:szCs w:val="28"/>
        </w:rPr>
        <w:t xml:space="preserve"> 80000 тыс. руб.</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решается вопрос о строительстве полигона утилизации ТБО на территории Волчанского городского округа в 2016-2017 годах.</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Разработана генеральная схема санитарной очистки населенных пунктов территории Волчанского городского округа и утверждена  решением Волчанской городской Думы от 17.02.2011 г. № 21 «Об утверждении «Генеральной схемы санитарной очистки населенных пунктов территории Волчанского городского округа».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применяется система сбора отходов в несменяемые контейнеры. Контейнеры располагаются на необорудованных контейнерных площадках, несоответствующих требованиям санитарных норм. Часть контейнеров требует срочного ремонта или замены. Мусоросборные площадки расположены без учета движения основных людских потоков. Неблагоустроенный сектор не полностью охвачен системой сбора коммунальных отходов. В результате часть отходов население сбрасывает в необорудованные для этого места в конце улиц, где образуются постоянные стихийные свалки.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Серьезной проблемой является большое количество золы, образуемой в неблагоустроенном секторе.</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Организация системы мусороудаления в жилищном секторе на территории Волчанского ГО</w:t>
      </w:r>
    </w:p>
    <w:tbl>
      <w:tblPr>
        <w:tblW w:w="100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9"/>
        <w:gridCol w:w="1993"/>
        <w:gridCol w:w="1669"/>
        <w:gridCol w:w="1170"/>
        <w:gridCol w:w="1441"/>
        <w:gridCol w:w="2002"/>
      </w:tblGrid>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Наименование населенного пункта</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Число обслуживаемых жителей, чел.</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контейнеров, шт.</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(емк. 0,75м3)</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График вывоза ТБО, раз/нед.</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Объем вывоза ТБО от населения, м3/сутки</w:t>
            </w:r>
          </w:p>
        </w:tc>
        <w:tc>
          <w:tcPr>
            <w:tcW w:w="2002"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Место обезвреживания ТБО</w:t>
            </w: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 Волчанск</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7859</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184</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84,2</w:t>
            </w:r>
          </w:p>
        </w:tc>
        <w:tc>
          <w:tcPr>
            <w:tcW w:w="2002" w:type="dxa"/>
            <w:vMerge w:val="restart"/>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Городская свалка</w:t>
            </w: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ст. Лесная Волчанка</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53</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1,4</w:t>
            </w:r>
          </w:p>
        </w:tc>
        <w:tc>
          <w:tcPr>
            <w:tcW w:w="2002" w:type="dxa"/>
            <w:vMerge/>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пос. Вьюжный</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249</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9</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1,8</w:t>
            </w:r>
          </w:p>
        </w:tc>
        <w:tc>
          <w:tcPr>
            <w:tcW w:w="2002" w:type="dxa"/>
            <w:vMerge/>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ИТОГО:</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8161</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202</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87,4</w:t>
            </w:r>
          </w:p>
        </w:tc>
        <w:tc>
          <w:tcPr>
            <w:tcW w:w="200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b/>
          <w:bCs/>
          <w:sz w:val="28"/>
          <w:szCs w:val="28"/>
        </w:rPr>
      </w:pPr>
      <w:r w:rsidRPr="007F425D">
        <w:rPr>
          <w:rFonts w:ascii="Times New Roman" w:hAnsi="Times New Roman" w:cs="Times New Roman"/>
          <w:b/>
          <w:bCs/>
          <w:sz w:val="28"/>
          <w:szCs w:val="28"/>
        </w:rPr>
        <w:t>Порядок сбора ТБО для объектов инфраструктуры в контейнеры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Сбор отходов производства и потребления юридическими лицами производится в специально установленные контейнеры. Все юридические лица обязаны заключать договора на вывоз отходов со специализированным предприятием, имеющим лицензию на право обращения с отходами.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Количественные характеристики системы мусороудаления для объектов инфраструктуры Волчанского ГО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7"/>
        <w:gridCol w:w="2119"/>
        <w:gridCol w:w="1590"/>
        <w:gridCol w:w="1471"/>
        <w:gridCol w:w="1535"/>
        <w:gridCol w:w="1881"/>
      </w:tblGrid>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п/п</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Наименование населенного пункта</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контейнеров, шт.</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(емк. 0,75м3)</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График вывоза ТБО, раз/нед.</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Объем вывоза ТБО от населения, м3/сутки</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Место обезвреживания ТБО</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 Волчанск</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35</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11,6</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ст.  Лесная Волчанка</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пос. Вьюжный</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bl>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Лечебно – профилактические учреждения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г. Волчанске находятся 2 лечебно – профилактических учреждения. Сбор и вывоз отходов класса А, бытовых отходов, производится в белых пакетах в контейнеры с соответствующей маркировкой и вывозятся на полигон ТБО.</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7F425D">
        <w:rPr>
          <w:rFonts w:ascii="Times New Roman" w:hAnsi="Times New Roman" w:cs="Times New Roman"/>
          <w:sz w:val="28"/>
          <w:szCs w:val="28"/>
        </w:rPr>
        <w:t>МУ «Волчанская городская больница»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Контейнеры в количестве 3 штук установлены на открытой площадке. Отходы класса Б – опасные, рискованные – собираются в желтые пакеты в контейнер за № Б и сжигаются.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Отходы класса В – чрезвычайно опасные – собираются в красные пакеты в контейнер за № 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Лекарственные препараты не подлежащие использованию и с истекшим сроком годности уничтожаются.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Установки для термического обезвреживания медицинских отходов при МУ «ВГБ» не имеется.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Заключен договор на вывоз опасных отходов с ООО «Центр безопасности промышленных отходов и по приему и обезвреживанию ртуть содержащих отходов».</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7F425D">
        <w:rPr>
          <w:rFonts w:ascii="Times New Roman" w:hAnsi="Times New Roman" w:cs="Times New Roman"/>
          <w:sz w:val="28"/>
          <w:szCs w:val="28"/>
        </w:rPr>
        <w:t>ГУЗ СО «Психиатрическая больница № 12</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Отходы класса Б собираются и сдаются на обезвреживание по договору организации «УралВторРесурс».</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b/>
          <w:bCs/>
          <w:sz w:val="28"/>
          <w:szCs w:val="28"/>
        </w:rPr>
      </w:pPr>
      <w:r w:rsidRPr="007F425D">
        <w:rPr>
          <w:rFonts w:ascii="Times New Roman" w:hAnsi="Times New Roman" w:cs="Times New Roman"/>
          <w:b/>
          <w:bCs/>
          <w:sz w:val="28"/>
          <w:szCs w:val="28"/>
        </w:rPr>
        <w:t>Перспективные направления санитарной очистки территорий населенных пунктов Волчанского городского округа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Основной задачей раздела является определение перспективных методов сбора, вывоза и обезвреживания отходов, образующихся в Волчанском городском округе. Предлагается: разместить контейнерные площадки в благоустроенном жилом фонде и возле объектов общественного назначения (магазины, киоски, кафе, учреждения, школы и др.) в соответствии с разработанными и утвержденными нормами образования ТБО. Дополнительно, на каждую контейнерную площадку, в неблагоустроенном секторе добавить контейнеры емкостью 0,55 м3 для сбора угольной золы, со специальной маркировкой запрещающей сброс в эти контейнеры других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Контейнерная система сбора ТБО обладает рядом преимуществ: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удаление отходов не зависит от времени прибытия спецмашины;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уменьшается загрязненность мусором на прилегающей территории;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ликвидируется несанкционированные свалки мусора около мусоросборных площадок при соблюдении графика вывоза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наличие контроля потоков и объемов образующихся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перспективе организованный сбор отходов с использованием несменяемых контейнеров ведет к переходу на селективную систему сбора отходов, что является единственным эффективным способом уменьшения объемов отходов производства и потребления, подлежащих захоронению в окружающей природной среде и ведущий к увеличению доли отходов, поступающих на переработку.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Правильная организация системы сбора и удаления ТБО предполагает наличие исчерпывающих сведений об обслуживаемых объектах. Для получения более полных данных необходимо обследовать все намеченные к обслуживанию объекты и провести их паспортизацию.</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b/>
          <w:bCs/>
          <w:sz w:val="28"/>
          <w:szCs w:val="28"/>
        </w:rPr>
      </w:pPr>
      <w:r w:rsidRPr="007F425D">
        <w:rPr>
          <w:rFonts w:ascii="Times New Roman" w:hAnsi="Times New Roman" w:cs="Times New Roman"/>
          <w:b/>
          <w:bCs/>
          <w:sz w:val="28"/>
          <w:szCs w:val="28"/>
        </w:rPr>
        <w:t>Результаты расчетного необходимого количества мусоровозов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Расчет количества мусоровозных машин для вывоза ТБО от жилищного фонда и инфраструктуры на 2008, 2013 и 2028 гг.(без учета имеющихся машин)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9"/>
        <w:gridCol w:w="2361"/>
        <w:gridCol w:w="2358"/>
        <w:gridCol w:w="2365"/>
      </w:tblGrid>
      <w:tr w:rsidR="008B6C17" w:rsidRPr="007F425D">
        <w:tc>
          <w:tcPr>
            <w:tcW w:w="2392" w:type="dxa"/>
            <w:vMerge w:val="restart"/>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Объекты</w:t>
            </w:r>
          </w:p>
        </w:tc>
        <w:tc>
          <w:tcPr>
            <w:tcW w:w="7179" w:type="dxa"/>
            <w:gridSpan w:val="3"/>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машин, шт.</w:t>
            </w:r>
          </w:p>
        </w:tc>
      </w:tr>
      <w:tr w:rsidR="008B6C17" w:rsidRPr="007F425D">
        <w:tc>
          <w:tcPr>
            <w:tcW w:w="239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Текущий период 2008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Первая очередь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2013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Расчетный срок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2028 г.</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и инфраструктура</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1,3(2)</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1,2(2)</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(2,01)2</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(контейнеры с угольной золой)</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w:t>
            </w: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Расчет количества мусоровозных машин для вывоза КГО от жилищного фонда на 2008,2013 и 2028 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9"/>
        <w:gridCol w:w="2361"/>
        <w:gridCol w:w="2358"/>
        <w:gridCol w:w="2365"/>
      </w:tblGrid>
      <w:tr w:rsidR="008B6C17" w:rsidRPr="007F425D">
        <w:tc>
          <w:tcPr>
            <w:tcW w:w="2392" w:type="dxa"/>
            <w:vMerge w:val="restart"/>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Объекты</w:t>
            </w:r>
          </w:p>
        </w:tc>
        <w:tc>
          <w:tcPr>
            <w:tcW w:w="7179" w:type="dxa"/>
            <w:gridSpan w:val="3"/>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машин, шт.</w:t>
            </w:r>
          </w:p>
        </w:tc>
      </w:tr>
      <w:tr w:rsidR="008B6C17" w:rsidRPr="007F425D">
        <w:tc>
          <w:tcPr>
            <w:tcW w:w="239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Текущий период 2008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Первая очередь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2013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Расчетный срок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2028 г.</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и инфраструктура</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425D">
        <w:rPr>
          <w:rFonts w:ascii="Times New Roman" w:hAnsi="Times New Roman" w:cs="Times New Roman"/>
          <w:sz w:val="24"/>
          <w:szCs w:val="24"/>
        </w:rPr>
        <w:t>* Расчет произведен при условии ежедневного вывоза ТБО, и четырех рейсах каждого мусоровоза на полигон. При использовании иных типов транспортных средств количество единиц может измениться.</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Методы обезвреживания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При существующей схеме сбора ТБО в Волчанском городском округе оптимальным направлением в обращении с отходами является захоронение на полигоне, с предварительным сбором утильных фракций для направления  на повторную переработку.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На современном этапе развития основным направлением в области обращения  с отходами для снижения техногенной нагрузки на окружающую среду является захоронение отходов на свалках и полигонах с последующей рекультивацией.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Проектирование и эксплуатация полигонов должна осуществляться в соответствии с правилами [16],[17],[21],[26].</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Полигоны для твердых бытовых отходов – это природоохранные сооружения, обеспечивающие при захоронении отходов полную санитарно – эпидемиологическую безопасность для населения близлежащих жилых  районов и обслуживающего персонала полигона; защиту от загрязнения почвы, воздушного бассейна, грунтовых и поверхностных вод; статистическую устойчивость отходов с учетом динамики уплотнения, газовыделения и гидрогеологических условий; рациональное использование и экономию  территории за счет уплотнения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Метод захоронения отходов на полигонах широко распространен во всех странах (75-80% всех твердых отходов захораниваются на полигонах). Отходы складируются в виде насыпного холма или в карьерах и оврагах с санитарно – защитной зоной 500 – 1000 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Даже при создании успешно функционирующих систем сжигания, вторичной переработки и компостирования остается необходимость захоронения остаточной части (хвостов). Поэтому полигон является неотъемлемой частью современной схемы сбора и удаления и захоронения твердых бытовых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Наиболее оптимальным направлением в системе обращения с отходами в настоящее время и в перспективе на 20 лет является сбор  вторичного сырья с помощью передвижных приемных пунктов и предварительной обработкой на приемно – заготовительном предприятии с последующим захоронением «хвостов» на полигоне.</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Максимальное извлечение отходов для последующей переработки и захоронение неутильной фракции на полигоне в настоящее время для муниципального образования является безальтернативным вариантом функционирования системы управления отходами. Очевидно, что вложение капитала в направления по сокращению объемов захоронения отходов,  перспективе, окупится и даст существенную прибыль. Кроме того, снизится техногенная нагрузка на окружающую природную среду.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Для совершенствования системы обращения с отходами, в соответствии с разработанной Генеральной схемой для Волчанского городского округа, необходимо разработать программу по санитарной очистке территории и определить первоочередные и долгосрочные мероприятия.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 первоочередным мероприятиям относится: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1. Совершенствование нормативно – правовой базы на муниципальном уровне в сфере обращения с отходами (корректировка норм образования отходов производства и потребления; утверждения документов – порядок обращения с медицинскими отходами, порядок обращения на территории с промышленными отходами, крупногабаритными отходами и другими видами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2. Обеспечение материально – технической базы для организации системы сбора и вывоза коммунальных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а) Приобретение контейнеров для сбора ТБО, обустройство контейнерных площадок.</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б) Приобретение современных спецавтомобилей для транспортировки твердых бытовых и крупногабаритных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Приобретение современных спецавтомобилей для механизированной уборки территории населенных пунктов в соответствии с требованиями  нормативных документов.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3. Провести мероприятия по приведению мощности полигона в соответствии с объемами образования ТБО по территории городского округа (на 2013 год расчетный объем образования отходов от объектов жилого сектора и инфраструктуры, без учета промышленных предприятий, составит  - 75291 м3 в год).</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4. Организация воспитательно – просветительской деятельности с населением.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5. Разработка системы мер экономического стимулирования организаций, осуществляющих сбор и использование отходов, являющихся вторичным сырьем.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6. Ввод в эксплуатацию передвижных пунктов приема вторичных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Вторая очередь мероприятий.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1 Введение селективной системы сбора утильных фракций ТБО для части населения.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2. Строительство предприятий по сортировке и переработке отдельных утильных фракций ТБО.</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1.7. ОБЩИЕ СВЕДЕНИЯ О ТАРИФАХ</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НА КОММУНАЛЬНЫЕ УСЛУГИ ДЛЯ НАСЕЛЕНИЯ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color w:val="000000"/>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color w:val="000000"/>
          <w:sz w:val="28"/>
          <w:szCs w:val="28"/>
        </w:rPr>
        <w:t xml:space="preserve">В </w:t>
      </w:r>
      <w:hyperlink w:anchor="Par568" w:history="1">
        <w:r w:rsidRPr="007F425D">
          <w:rPr>
            <w:rFonts w:ascii="Times New Roman" w:hAnsi="Times New Roman" w:cs="Times New Roman"/>
            <w:color w:val="000000"/>
            <w:sz w:val="28"/>
            <w:szCs w:val="28"/>
          </w:rPr>
          <w:t xml:space="preserve">таблице </w:t>
        </w:r>
      </w:hyperlink>
      <w:r w:rsidRPr="007F425D">
        <w:rPr>
          <w:rFonts w:ascii="Times New Roman" w:hAnsi="Times New Roman" w:cs="Times New Roman"/>
          <w:color w:val="000000"/>
          <w:sz w:val="28"/>
          <w:szCs w:val="28"/>
        </w:rPr>
        <w:t>7</w:t>
      </w:r>
      <w:r w:rsidRPr="007F425D">
        <w:rPr>
          <w:rFonts w:ascii="Times New Roman" w:hAnsi="Times New Roman" w:cs="Times New Roman"/>
          <w:sz w:val="28"/>
          <w:szCs w:val="28"/>
        </w:rPr>
        <w:t xml:space="preserve"> представлена информация о стоимости коммунальных услуг для населения по утвержденным тарифам, действующим по состоянию на январь 2015 года.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both"/>
        <w:outlineLvl w:val="3"/>
        <w:rPr>
          <w:rFonts w:ascii="Times New Roman" w:hAnsi="Times New Roman" w:cs="Times New Roman"/>
          <w:sz w:val="28"/>
          <w:szCs w:val="28"/>
        </w:rPr>
      </w:pPr>
      <w:bookmarkStart w:id="9" w:name="Par568"/>
      <w:bookmarkEnd w:id="9"/>
      <w:r w:rsidRPr="007F425D">
        <w:rPr>
          <w:rFonts w:ascii="Times New Roman" w:hAnsi="Times New Roman" w:cs="Times New Roman"/>
          <w:sz w:val="28"/>
          <w:szCs w:val="28"/>
        </w:rPr>
        <w:t>Таблица 7 ТАРИФЫ И НОРМАТИВЫ НА КОММУНАЛЬНЫЕ УСЛУГИ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ДЛЯ НАСЕЛЕНИЯ, ПРОЖИВАЮЩЕГО В ПОЛНОСТЬЮ БЛАГОУСТРОЕННОМ</w:t>
      </w:r>
    </w:p>
    <w:p w:rsidR="008B6C17" w:rsidRPr="007F425D" w:rsidRDefault="008B6C17" w:rsidP="007F425D">
      <w:pPr>
        <w:shd w:val="clear" w:color="auto" w:fill="FFFFFF"/>
        <w:tabs>
          <w:tab w:val="left" w:pos="1267"/>
        </w:tabs>
        <w:spacing w:after="0" w:line="240" w:lineRule="auto"/>
        <w:ind w:firstLine="902"/>
        <w:jc w:val="both"/>
        <w:rPr>
          <w:rFonts w:ascii="Times New Roman" w:hAnsi="Times New Roman" w:cs="Times New Roman"/>
          <w:caps/>
          <w:sz w:val="28"/>
          <w:szCs w:val="28"/>
        </w:rPr>
      </w:pPr>
      <w:r w:rsidRPr="007F425D">
        <w:rPr>
          <w:rFonts w:ascii="Times New Roman" w:hAnsi="Times New Roman" w:cs="Times New Roman"/>
          <w:sz w:val="28"/>
          <w:szCs w:val="28"/>
        </w:rPr>
        <w:t xml:space="preserve">ЖИЛЬЕ НА ТЕРРИТОРИИ </w:t>
      </w:r>
      <w:r w:rsidRPr="007F425D">
        <w:rPr>
          <w:rFonts w:ascii="Times New Roman" w:hAnsi="Times New Roman" w:cs="Times New Roman"/>
          <w:caps/>
          <w:sz w:val="28"/>
          <w:szCs w:val="28"/>
        </w:rPr>
        <w:t>Волчанского городского округа</w:t>
      </w:r>
    </w:p>
    <w:p w:rsidR="008B6C17" w:rsidRPr="007F425D" w:rsidRDefault="008B6C17" w:rsidP="007F425D">
      <w:pPr>
        <w:shd w:val="clear" w:color="auto" w:fill="FFFFFF"/>
        <w:tabs>
          <w:tab w:val="left" w:pos="1267"/>
        </w:tabs>
        <w:spacing w:after="0" w:line="240" w:lineRule="auto"/>
        <w:ind w:firstLine="902"/>
        <w:jc w:val="right"/>
        <w:rPr>
          <w:rFonts w:ascii="Times New Roman" w:hAnsi="Times New Roman" w:cs="Times New Roman"/>
          <w:caps/>
          <w:sz w:val="28"/>
          <w:szCs w:val="28"/>
        </w:rPr>
      </w:pPr>
      <w:r w:rsidRPr="007F425D">
        <w:rPr>
          <w:rFonts w:ascii="Times New Roman" w:hAnsi="Times New Roman" w:cs="Times New Roman"/>
          <w:sz w:val="28"/>
          <w:szCs w:val="28"/>
        </w:rPr>
        <w:t>Таблица 7</w:t>
      </w:r>
    </w:p>
    <w:tbl>
      <w:tblPr>
        <w:tblW w:w="9581" w:type="dxa"/>
        <w:tblCellSpacing w:w="5" w:type="nil"/>
        <w:tblInd w:w="2" w:type="dxa"/>
        <w:tblLayout w:type="fixed"/>
        <w:tblCellMar>
          <w:left w:w="75" w:type="dxa"/>
          <w:right w:w="75" w:type="dxa"/>
        </w:tblCellMar>
        <w:tblLook w:val="0000"/>
      </w:tblPr>
      <w:tblGrid>
        <w:gridCol w:w="850"/>
        <w:gridCol w:w="5046"/>
        <w:gridCol w:w="2098"/>
        <w:gridCol w:w="1587"/>
      </w:tblGrid>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368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Значение показателей  на период с 01.07.2014 по 31.12.2014 г.</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1.</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Отопление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за тепловую энергию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«ВТЭК»</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1463,23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1311,61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Гкал/м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0,0221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r w:rsidRPr="007F425D">
              <w:rPr>
                <w:rFonts w:ascii="Times New Roman" w:hAnsi="Times New Roman" w:cs="Times New Roman"/>
                <w:sz w:val="24"/>
                <w:szCs w:val="24"/>
              </w:rPr>
              <w:t>2</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Горячее водоснабжение: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МУП «ВТЭК» </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тепловую энергию</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1463,23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холодную воду</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2,83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тепловую энергию</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1311,61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холодную воду</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 xml:space="preserve">3. </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Холодное водоснабжение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«Водоканал»</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ОАО «Волчанское»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25,13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 на жилое помещение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4.</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Водоотведение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"Водоканал"</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27,05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 на жилое помещение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8,86</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5.</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Электроэнергия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для населения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 электроплитами</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Руб./кВтч</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 газовыми плитами</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Руб./кВтч</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3,07</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кВтч/чел.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56</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6.</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Газоснабжение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для населения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4,64</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10,2</w:t>
            </w:r>
          </w:p>
        </w:tc>
      </w:tr>
    </w:tbl>
    <w:p w:rsidR="008B6C17" w:rsidRPr="007F425D" w:rsidRDefault="008B6C17" w:rsidP="007F425D">
      <w:pPr>
        <w:shd w:val="clear" w:color="auto" w:fill="FFFFFF"/>
        <w:tabs>
          <w:tab w:val="left" w:pos="0"/>
        </w:tabs>
        <w:spacing w:before="5"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1"/>
        <w:rPr>
          <w:rFonts w:ascii="Times New Roman" w:hAnsi="Times New Roman" w:cs="Times New Roman"/>
          <w:caps/>
          <w:sz w:val="28"/>
          <w:szCs w:val="28"/>
        </w:rPr>
      </w:pPr>
      <w:r w:rsidRPr="007F425D">
        <w:rPr>
          <w:rFonts w:ascii="Times New Roman" w:hAnsi="Times New Roman" w:cs="Times New Roman"/>
          <w:caps/>
          <w:sz w:val="28"/>
          <w:szCs w:val="28"/>
        </w:rPr>
        <w:t>Раздел 2 План развития Волчанского городского округа,</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caps/>
          <w:sz w:val="28"/>
          <w:szCs w:val="28"/>
        </w:rPr>
      </w:pPr>
      <w:r w:rsidRPr="007F425D">
        <w:rPr>
          <w:rFonts w:ascii="Times New Roman" w:hAnsi="Times New Roman" w:cs="Times New Roman"/>
          <w:caps/>
          <w:sz w:val="28"/>
          <w:szCs w:val="28"/>
        </w:rPr>
        <w:t>план прогнозируемой застройки и ПРОГНОЗИРУЕМЫЙ СПРОС НА КОММУНАЛЬНЫЕ РЕСУРСЫ</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caps/>
          <w:sz w:val="28"/>
          <w:szCs w:val="28"/>
        </w:rPr>
      </w:pPr>
      <w:r w:rsidRPr="007F425D">
        <w:rPr>
          <w:rFonts w:ascii="Times New Roman" w:hAnsi="Times New Roman" w:cs="Times New Roman"/>
          <w:caps/>
          <w:sz w:val="28"/>
          <w:szCs w:val="28"/>
        </w:rPr>
        <w:t>НА ПЕРИОД ДЕЙСТВИЯ ГЕНЕРАЛЬНОГО ПЛАНА</w:t>
      </w: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8"/>
          <w:szCs w:val="28"/>
        </w:rPr>
      </w:pPr>
    </w:p>
    <w:p w:rsidR="008B6C17" w:rsidRPr="007F425D" w:rsidRDefault="008B6C17" w:rsidP="007F425D">
      <w:pPr>
        <w:spacing w:after="0" w:line="240" w:lineRule="auto"/>
        <w:ind w:firstLine="601"/>
        <w:jc w:val="both"/>
        <w:rPr>
          <w:rFonts w:ascii="Times New Roman" w:hAnsi="Times New Roman" w:cs="Times New Roman"/>
          <w:sz w:val="28"/>
          <w:szCs w:val="28"/>
        </w:rPr>
      </w:pPr>
      <w:r w:rsidRPr="007F425D">
        <w:rPr>
          <w:rFonts w:ascii="Times New Roman" w:hAnsi="Times New Roman" w:cs="Times New Roman"/>
          <w:sz w:val="28"/>
          <w:szCs w:val="28"/>
        </w:rPr>
        <w:t>Развитие  Волчанского городского округа происходит в целом по направлениям, предусмотренным генеральным планом города.</w:t>
      </w:r>
    </w:p>
    <w:p w:rsidR="008B6C17" w:rsidRPr="007F425D" w:rsidRDefault="008B6C17" w:rsidP="007F425D">
      <w:pPr>
        <w:spacing w:after="0" w:line="240" w:lineRule="auto"/>
        <w:ind w:firstLine="601"/>
        <w:jc w:val="both"/>
        <w:rPr>
          <w:rFonts w:ascii="Times New Roman" w:hAnsi="Times New Roman" w:cs="Times New Roman"/>
          <w:sz w:val="28"/>
          <w:szCs w:val="28"/>
        </w:rPr>
      </w:pPr>
      <w:r w:rsidRPr="007F425D">
        <w:rPr>
          <w:rFonts w:ascii="Times New Roman" w:hAnsi="Times New Roman" w:cs="Times New Roman"/>
          <w:sz w:val="28"/>
          <w:szCs w:val="28"/>
        </w:rPr>
        <w:t>Выявляемые расхождения в целом вписываются в общую тенденцию, заложенную в генеральном плане города, но отличаются меньшими масштабами фактических величин по сравнению с расчетными.</w:t>
      </w:r>
    </w:p>
    <w:p w:rsidR="008B6C17" w:rsidRPr="007F425D" w:rsidRDefault="008B6C17" w:rsidP="007F425D">
      <w:pPr>
        <w:spacing w:after="0" w:line="240" w:lineRule="auto"/>
        <w:ind w:firstLine="601"/>
        <w:jc w:val="both"/>
        <w:rPr>
          <w:rFonts w:ascii="Times New Roman" w:hAnsi="Times New Roman" w:cs="Times New Roman"/>
          <w:sz w:val="28"/>
          <w:szCs w:val="28"/>
        </w:rPr>
      </w:pPr>
      <w:r w:rsidRPr="007F425D">
        <w:rPr>
          <w:rFonts w:ascii="Times New Roman" w:hAnsi="Times New Roman" w:cs="Times New Roman"/>
          <w:sz w:val="28"/>
          <w:szCs w:val="28"/>
        </w:rPr>
        <w:t xml:space="preserve">Одной из причин расхождений между фактическими темпами развития и плановыми являются замедленные темпы развития экономики города. </w:t>
      </w:r>
    </w:p>
    <w:p w:rsidR="008B6C17" w:rsidRPr="007F425D" w:rsidRDefault="008B6C17" w:rsidP="007F425D">
      <w:pPr>
        <w:spacing w:after="0" w:line="240" w:lineRule="auto"/>
        <w:ind w:firstLine="601"/>
        <w:jc w:val="both"/>
        <w:rPr>
          <w:rFonts w:ascii="Times New Roman" w:hAnsi="Times New Roman" w:cs="Times New Roman"/>
          <w:sz w:val="28"/>
          <w:szCs w:val="28"/>
        </w:rPr>
      </w:pPr>
      <w:r w:rsidRPr="007F425D">
        <w:rPr>
          <w:rFonts w:ascii="Times New Roman" w:hAnsi="Times New Roman" w:cs="Times New Roman"/>
          <w:sz w:val="28"/>
          <w:szCs w:val="28"/>
        </w:rPr>
        <w:t>При разработке концепции развития города должны учитываться выявленные расхождения в реализации генерального плана города и новые условия развития рыночной экономики.</w:t>
      </w:r>
    </w:p>
    <w:p w:rsidR="008B6C17" w:rsidRPr="007F425D" w:rsidRDefault="008B6C17" w:rsidP="007F425D">
      <w:pPr>
        <w:spacing w:after="0" w:line="240" w:lineRule="auto"/>
        <w:ind w:firstLine="601"/>
        <w:jc w:val="both"/>
        <w:rPr>
          <w:rFonts w:ascii="Times New Roman" w:hAnsi="Times New Roman" w:cs="Times New Roman"/>
          <w:sz w:val="28"/>
          <w:szCs w:val="28"/>
        </w:rPr>
      </w:pPr>
      <w:r w:rsidRPr="007F425D">
        <w:rPr>
          <w:rFonts w:ascii="Times New Roman" w:hAnsi="Times New Roman" w:cs="Times New Roman"/>
          <w:sz w:val="28"/>
          <w:szCs w:val="28"/>
        </w:rPr>
        <w:t>Планировочная структура города должна быть открытой, включать большую площадь индивидуальной жилой застройки и должна быть увязана с темпами развития экономики города.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highlight w:val="yellow"/>
        </w:rPr>
      </w:pPr>
      <w:r w:rsidRPr="007F425D">
        <w:rPr>
          <w:rFonts w:ascii="Times New Roman" w:hAnsi="Times New Roman" w:cs="Times New Roman"/>
          <w:sz w:val="28"/>
          <w:szCs w:val="28"/>
        </w:rPr>
        <w:t>В период реализации программы на территории Волчанского городского округа планируется следующие направления развития систем коммунальной инфраструктуры: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1. строительство 1,2 км новых сетей теплоснабжения к жилым домам без центрального теплоснабжения, модернизация  участков сетей теплоснабжения 35 км.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2. Модернизация водопроводных сетей 15 км., модернизация насосного оборудования водозаборах, строительство сетей водоснабжения 1,5 км.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3. Строительство сетей канализации 8 км, модернизация систем обеззараживания сточных вод.</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4. Строительство сетей газоснабжения.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5. Строительство полигона утилизации твердых бытовых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Реализация данных направлений развития увеличивает нагрузку на все системы коммунальной инфраструктуры города Волчанска, для обеспечения чего потребуется реализация мероприятий, запланированных в Программе «Комплексное развитие систем коммунальной инфраструктуры Волчанского городского круга до 2030 года».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Планируется улучшить условия проживания населения за счет:</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ввода жилищного строительства не менее 7,8 тыс. м2 до 2030 года;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сноса аварийных домов 64 ед.;</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капитального ремонта многоквартирных домов 158 ед.</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caps/>
          <w:sz w:val="28"/>
          <w:szCs w:val="28"/>
        </w:rPr>
      </w:pPr>
      <w:r w:rsidRPr="007F425D">
        <w:rPr>
          <w:rFonts w:ascii="Times New Roman" w:hAnsi="Times New Roman" w:cs="Times New Roman"/>
          <w:caps/>
          <w:sz w:val="28"/>
          <w:szCs w:val="28"/>
        </w:rPr>
        <w:t>Раздел 3 Целевые показатели развития коммунальной инфраструктуры</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Критерии доступности коммунальных услуг для населения в среднем по Волчанскому городскому округу представлены в таблице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right"/>
        <w:outlineLvl w:val="3"/>
        <w:rPr>
          <w:rFonts w:ascii="Times New Roman" w:hAnsi="Times New Roman" w:cs="Times New Roman"/>
          <w:sz w:val="28"/>
          <w:szCs w:val="28"/>
        </w:rPr>
      </w:pPr>
      <w:bookmarkStart w:id="10" w:name="Par2828"/>
      <w:bookmarkEnd w:id="10"/>
      <w:r w:rsidRPr="007F425D">
        <w:rPr>
          <w:rFonts w:ascii="Times New Roman" w:hAnsi="Times New Roman" w:cs="Times New Roman"/>
          <w:sz w:val="28"/>
          <w:szCs w:val="28"/>
        </w:rPr>
        <w:t>Таблица 8 Уровни доступности коммунальных услуг для населения</w:t>
      </w:r>
    </w:p>
    <w:p w:rsidR="008B6C17" w:rsidRPr="007F425D" w:rsidRDefault="008B6C17" w:rsidP="007F425D">
      <w:pPr>
        <w:widowControl w:val="0"/>
        <w:autoSpaceDE w:val="0"/>
        <w:autoSpaceDN w:val="0"/>
        <w:adjustRightInd w:val="0"/>
        <w:spacing w:after="0" w:line="240" w:lineRule="auto"/>
        <w:jc w:val="right"/>
        <w:rPr>
          <w:rFonts w:ascii="Times New Roman" w:hAnsi="Times New Roman" w:cs="Times New Roman"/>
          <w:sz w:val="24"/>
          <w:szCs w:val="24"/>
        </w:rPr>
      </w:pPr>
    </w:p>
    <w:tbl>
      <w:tblPr>
        <w:tblW w:w="9637" w:type="dxa"/>
        <w:tblCellSpacing w:w="5" w:type="nil"/>
        <w:tblInd w:w="2" w:type="dxa"/>
        <w:tblLayout w:type="fixed"/>
        <w:tblCellMar>
          <w:left w:w="75" w:type="dxa"/>
          <w:right w:w="75" w:type="dxa"/>
        </w:tblCellMar>
        <w:tblLook w:val="0000"/>
      </w:tblPr>
      <w:tblGrid>
        <w:gridCol w:w="510"/>
        <w:gridCol w:w="7313"/>
        <w:gridCol w:w="1814"/>
      </w:tblGrid>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критерия</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доступности:</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расходов на коммунальные услуги в совокупном доходе семьи,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населения с доходами ниже прожиточного минимума,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собираемости платежей за коммунальные услуги,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87,5</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получателей субсидий на оплату коммунальных услуг в общей численности населения,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Вышеуказанные данные представлены по всем видам коммунальных услуг. Значение критериев позволяет сказать, что уровень доступности коммунальных услуг на территории Волчанского городского округа можно охарактеризовать как «доступный». Целевые показатели развития коммунальной инфраструктуры, достижение которых планируется при реализации программы комплексного развития систем коммунальной инфраструктуры, представлены в приложении № 1</w:t>
      </w:r>
    </w:p>
    <w:p w:rsidR="008B6C17" w:rsidRPr="007F425D" w:rsidRDefault="008B6C17" w:rsidP="007F425D">
      <w:pPr>
        <w:spacing w:after="0" w:line="240" w:lineRule="auto"/>
        <w:ind w:firstLine="601"/>
        <w:jc w:val="both"/>
        <w:rPr>
          <w:rFonts w:ascii="Times New Roman" w:hAnsi="Times New Roman" w:cs="Times New Roman"/>
          <w:sz w:val="24"/>
          <w:szCs w:val="24"/>
        </w:rPr>
        <w:sectPr w:rsidR="008B6C17" w:rsidRPr="007F425D" w:rsidSect="003C07E0">
          <w:pgSz w:w="11906" w:h="16838"/>
          <w:pgMar w:top="1134" w:right="850" w:bottom="1134" w:left="1701" w:header="708" w:footer="708" w:gutter="0"/>
          <w:cols w:space="708"/>
          <w:docGrid w:linePitch="360"/>
        </w:sectPr>
      </w:pPr>
    </w:p>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hd w:val="clear" w:color="auto" w:fill="FFFFFF"/>
        <w:tabs>
          <w:tab w:val="left" w:pos="0"/>
        </w:tabs>
        <w:spacing w:before="5" w:line="240" w:lineRule="auto"/>
        <w:jc w:val="center"/>
        <w:rPr>
          <w:rFonts w:ascii="Times New Roman" w:hAnsi="Times New Roman" w:cs="Times New Roman"/>
          <w:caps/>
          <w:sz w:val="28"/>
          <w:szCs w:val="28"/>
        </w:rPr>
      </w:pPr>
      <w:r w:rsidRPr="007F425D">
        <w:rPr>
          <w:rFonts w:ascii="Times New Roman" w:hAnsi="Times New Roman" w:cs="Times New Roman"/>
          <w:caps/>
          <w:sz w:val="28"/>
          <w:szCs w:val="28"/>
        </w:rPr>
        <w:t>Раздел 4  Перечень мероприятий, обеспечивающих достижение целевых показателей</w:t>
      </w:r>
    </w:p>
    <w:p w:rsidR="008B6C17" w:rsidRPr="007F425D" w:rsidRDefault="008B6C17" w:rsidP="007F425D">
      <w:pPr>
        <w:shd w:val="clear" w:color="auto" w:fill="FFFFFF"/>
        <w:tabs>
          <w:tab w:val="left" w:pos="0"/>
        </w:tabs>
        <w:spacing w:before="5" w:line="240" w:lineRule="auto"/>
        <w:jc w:val="center"/>
        <w:rPr>
          <w:rFonts w:ascii="Times New Roman" w:hAnsi="Times New Roman" w:cs="Times New Roman"/>
          <w:caps/>
          <w:sz w:val="28"/>
          <w:szCs w:val="28"/>
        </w:rPr>
      </w:pPr>
      <w:r w:rsidRPr="007F425D">
        <w:rPr>
          <w:rFonts w:ascii="Times New Roman" w:hAnsi="Times New Roman" w:cs="Times New Roman"/>
          <w:caps/>
          <w:sz w:val="28"/>
          <w:szCs w:val="28"/>
        </w:rPr>
        <w:t>4.1 Теплоснабжение</w:t>
      </w:r>
    </w:p>
    <w:tbl>
      <w:tblPr>
        <w:tblW w:w="0" w:type="auto"/>
        <w:tblCellSpacing w:w="5" w:type="nil"/>
        <w:tblInd w:w="2" w:type="dxa"/>
        <w:tblLayout w:type="fixed"/>
        <w:tblCellMar>
          <w:left w:w="75" w:type="dxa"/>
          <w:right w:w="75" w:type="dxa"/>
        </w:tblCellMar>
        <w:tblLook w:val="0000"/>
      </w:tblPr>
      <w:tblGrid>
        <w:gridCol w:w="794"/>
        <w:gridCol w:w="3402"/>
        <w:gridCol w:w="1020"/>
        <w:gridCol w:w="1077"/>
        <w:gridCol w:w="964"/>
        <w:gridCol w:w="1077"/>
        <w:gridCol w:w="1134"/>
        <w:gridCol w:w="1134"/>
        <w:gridCol w:w="1020"/>
        <w:gridCol w:w="1077"/>
      </w:tblGrid>
      <w:tr w:rsidR="008B6C17" w:rsidRPr="007F425D">
        <w:trPr>
          <w:tblCellSpacing w:w="5" w:type="nil"/>
        </w:trPr>
        <w:tc>
          <w:tcPr>
            <w:tcW w:w="79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79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69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r>
      <w:tr w:rsidR="008B6C17" w:rsidRPr="007F425D">
        <w:trPr>
          <w:tblCellSpacing w:w="5" w:type="nil"/>
        </w:trPr>
        <w:tc>
          <w:tcPr>
            <w:tcW w:w="521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1269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21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Установка источника резервного питания для угольной котельной пос.Вьюжный (100 кВт., 380В)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Субсидии на возмещение затрат на модернизацию и капитальный ремонт сетей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тепловой изоляции тепловых сетей, обеспечивающей снижение тепловых потерь в 3 раза (Ду ср.150мм, протяженность 7,2 км. в 2-х трубном исполнении)</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термической деаэрации (с использованием источника пара)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коммунальных сетей к жилым домам</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трубопровода =250 мм от камеры № 16 по ул.Базарная, Школьная, М.Горького, Кооперативная до ул.Социалистическая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термической деаэрации (с использованием источника пара)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коммунальных сетей к жилым домам</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Предоставление субсидий на возмещение затрат на выполнение работ по замене оборудования котельной поселка Вьюжный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резервного источника питания по электроснабжению НСТС и ЦТП</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Получение заключения экспертизы промышленной безопасности на котел ДЕ-16-14 ГМ № 3</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spacing w:after="0" w:line="240" w:lineRule="auto"/>
        <w:ind w:firstLine="601"/>
        <w:jc w:val="center"/>
        <w:rPr>
          <w:rFonts w:ascii="Times New Roman" w:hAnsi="Times New Roman" w:cs="Times New Roman"/>
          <w:caps/>
          <w:sz w:val="28"/>
          <w:szCs w:val="28"/>
        </w:rPr>
      </w:pPr>
      <w:r w:rsidRPr="007F425D">
        <w:rPr>
          <w:rFonts w:ascii="Times New Roman" w:hAnsi="Times New Roman" w:cs="Times New Roman"/>
          <w:caps/>
          <w:sz w:val="28"/>
          <w:szCs w:val="28"/>
        </w:rPr>
        <w:t>4.2 Водоснабжение</w:t>
      </w:r>
    </w:p>
    <w:p w:rsidR="008B6C17" w:rsidRPr="007F425D" w:rsidRDefault="008B6C17" w:rsidP="007F425D">
      <w:pPr>
        <w:spacing w:after="0" w:line="240" w:lineRule="auto"/>
        <w:ind w:firstLine="601"/>
        <w:jc w:val="center"/>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624"/>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Установка источника резервного питания для НС 1-го подъема водоснабжения станции Лесная Волчанка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и капитальный ремонт водопроводных сетей</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организации зон санитарной охраны (ЗСО) водозабора по водозаборному участку скважин № 1 и № 2 станции Лесная Волчанка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водовода питьевой воды от  НС 2 подъема до НС 3 подъема участка водоснабжение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водовода питьевой воды от  НС 2 подъема до НС 3 подъема участка водоснабжение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spacing w:after="0" w:line="240" w:lineRule="auto"/>
        <w:ind w:firstLine="601"/>
        <w:jc w:val="both"/>
        <w:rPr>
          <w:rFonts w:ascii="Times New Roman" w:hAnsi="Times New Roman" w:cs="Times New Roman"/>
          <w:caps/>
          <w:sz w:val="24"/>
          <w:szCs w:val="24"/>
        </w:rPr>
      </w:pPr>
      <w:bookmarkStart w:id="11" w:name="Par1354"/>
      <w:bookmarkEnd w:id="11"/>
      <w:r w:rsidRPr="007F425D">
        <w:rPr>
          <w:rFonts w:ascii="Times New Roman" w:hAnsi="Times New Roman" w:cs="Times New Roman"/>
          <w:caps/>
          <w:sz w:val="24"/>
          <w:szCs w:val="24"/>
        </w:rPr>
        <w:t xml:space="preserve"> </w:t>
      </w:r>
    </w:p>
    <w:p w:rsidR="008B6C17" w:rsidRPr="007F425D" w:rsidRDefault="008B6C17" w:rsidP="007F425D">
      <w:pPr>
        <w:spacing w:after="0" w:line="240" w:lineRule="auto"/>
        <w:ind w:firstLine="601"/>
        <w:jc w:val="center"/>
        <w:rPr>
          <w:rFonts w:ascii="Times New Roman" w:hAnsi="Times New Roman" w:cs="Times New Roman"/>
          <w:caps/>
          <w:sz w:val="28"/>
          <w:szCs w:val="28"/>
        </w:rPr>
      </w:pPr>
      <w:r w:rsidRPr="007F425D">
        <w:rPr>
          <w:rFonts w:ascii="Times New Roman" w:hAnsi="Times New Roman" w:cs="Times New Roman"/>
          <w:caps/>
          <w:sz w:val="28"/>
          <w:szCs w:val="28"/>
        </w:rPr>
        <w:t>4.3 Водоотведение</w:t>
      </w:r>
    </w:p>
    <w:p w:rsidR="008B6C17" w:rsidRPr="007F425D" w:rsidRDefault="008B6C17" w:rsidP="007F425D">
      <w:pPr>
        <w:spacing w:after="0" w:line="240" w:lineRule="auto"/>
        <w:ind w:firstLine="601"/>
        <w:jc w:val="both"/>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624"/>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ВОДОотведения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и строительство блочной газовой котельной с подводящим газопроводом до Северных ОСК</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модернизацию системы обеззараживания сточных вод на очистных сооружениях севера и юга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Реконструкция здания КНС северных ОСК</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rHeight w:val="338"/>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дополнительного фидера 6кВ ОРУ 6кВ, ТП 6/0,4 кВ для КНС Южных очистных сооружений канализации</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системы обеззараживания сточных вод на очистных сооружениях севера и юга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4000,0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caps/>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caps/>
          <w:sz w:val="28"/>
          <w:szCs w:val="28"/>
        </w:rPr>
      </w:pPr>
      <w:r w:rsidRPr="007F425D">
        <w:rPr>
          <w:rFonts w:ascii="Times New Roman" w:hAnsi="Times New Roman" w:cs="Times New Roman"/>
          <w:caps/>
          <w:sz w:val="28"/>
          <w:szCs w:val="28"/>
        </w:rPr>
        <w:t>4.4 СИСТЕМА ЭлектроснабжениЯ</w:t>
      </w:r>
    </w:p>
    <w:p w:rsidR="008B6C17" w:rsidRPr="007F425D" w:rsidRDefault="008B6C17" w:rsidP="007F425D">
      <w:pPr>
        <w:spacing w:after="0" w:line="240" w:lineRule="auto"/>
        <w:ind w:firstLine="601"/>
        <w:jc w:val="center"/>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624"/>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Электроснабжения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Наружное освещение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Обслуживание сетей наружного освещения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Приобретение опор уличного освещения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8000,0</w:t>
            </w:r>
          </w:p>
        </w:tc>
      </w:tr>
    </w:tbl>
    <w:p w:rsidR="008B6C17" w:rsidRPr="007F425D" w:rsidRDefault="008B6C17" w:rsidP="007F425D">
      <w:pPr>
        <w:spacing w:after="0" w:line="240" w:lineRule="auto"/>
        <w:ind w:firstLine="601"/>
        <w:jc w:val="both"/>
        <w:rPr>
          <w:rFonts w:ascii="Times New Roman" w:hAnsi="Times New Roman" w:cs="Times New Roman"/>
          <w:caps/>
          <w:sz w:val="24"/>
          <w:szCs w:val="24"/>
        </w:rPr>
      </w:pPr>
    </w:p>
    <w:p w:rsidR="008B6C17" w:rsidRPr="007F425D" w:rsidRDefault="008B6C17" w:rsidP="007F425D">
      <w:pPr>
        <w:spacing w:after="0" w:line="240" w:lineRule="auto"/>
        <w:ind w:firstLine="601"/>
        <w:jc w:val="center"/>
        <w:rPr>
          <w:rFonts w:ascii="Times New Roman" w:hAnsi="Times New Roman" w:cs="Times New Roman"/>
          <w:caps/>
          <w:sz w:val="28"/>
          <w:szCs w:val="28"/>
        </w:rPr>
      </w:pPr>
      <w:r w:rsidRPr="007F425D">
        <w:rPr>
          <w:rFonts w:ascii="Times New Roman" w:hAnsi="Times New Roman" w:cs="Times New Roman"/>
          <w:caps/>
          <w:sz w:val="28"/>
          <w:szCs w:val="28"/>
        </w:rPr>
        <w:t>4.5 ГАЗОСНАБЖЕНИЕ</w:t>
      </w:r>
    </w:p>
    <w:p w:rsidR="008B6C17" w:rsidRPr="007F425D" w:rsidRDefault="008B6C17" w:rsidP="007F425D">
      <w:pPr>
        <w:spacing w:after="0" w:line="240" w:lineRule="auto"/>
        <w:ind w:firstLine="601"/>
        <w:jc w:val="both"/>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624"/>
        <w:gridCol w:w="3402"/>
        <w:gridCol w:w="834"/>
        <w:gridCol w:w="1260"/>
        <w:gridCol w:w="1080"/>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83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26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522"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83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642"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ГАЗОСНАБЖЕНИЯ</w:t>
            </w:r>
          </w:p>
        </w:tc>
      </w:tr>
      <w:tr w:rsidR="008B6C17" w:rsidRPr="007F425D">
        <w:trPr>
          <w:tblCellSpacing w:w="5" w:type="nil"/>
        </w:trPr>
        <w:tc>
          <w:tcPr>
            <w:tcW w:w="4860"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12642"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4860"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подземного газопровода высокого давления протяжённостью 0,25 км и надземного газопровода низкого давления протяжённостью 2,4 км</w:t>
            </w: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3,2 км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5,3 км </w:t>
            </w: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надземного газопровода низкого давления протяженностью 7,3 км (</w:t>
            </w: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i/>
                <w:iCs/>
                <w:sz w:val="24"/>
                <w:szCs w:val="24"/>
              </w:rPr>
              <w:t>(Ст. Л. Волчанка)</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Выполнение строительно-монтажных работ на объекте газоснабжения «Строительство подземного газопровода высокого давления и ГРП для газификации МОУ СОШ № 31»</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Выполнение строительно-монтажных работ на объекте газоснабжения «Расширение газовых сетей поселка Вьюжный МО Волчанский городской округ»</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w:t>
            </w:r>
          </w:p>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 (от ул. Труда до ул. Северная)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подземного газопровода высокого давления протяжённостью 0,25 км и надземного газопровода низкого давления протяжённостью 2,4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надземного газопровода низкого давления протяженностью 3,2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протяженностью 5,3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надземного газопровода низкого давления протяженностью 7,3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(Ст. Л. Волчанка)</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bl>
    <w:p w:rsidR="008B6C17" w:rsidRPr="007F425D" w:rsidRDefault="008B6C17" w:rsidP="007F425D">
      <w:pPr>
        <w:spacing w:after="0" w:line="240" w:lineRule="auto"/>
        <w:ind w:firstLine="601"/>
        <w:jc w:val="both"/>
        <w:rPr>
          <w:rFonts w:ascii="Times New Roman" w:hAnsi="Times New Roman" w:cs="Times New Roman"/>
          <w:caps/>
          <w:sz w:val="24"/>
          <w:szCs w:val="24"/>
        </w:rPr>
      </w:pPr>
    </w:p>
    <w:p w:rsidR="008B6C17" w:rsidRPr="007F425D" w:rsidRDefault="008B6C17" w:rsidP="007F425D">
      <w:pPr>
        <w:spacing w:after="0" w:line="240" w:lineRule="auto"/>
        <w:ind w:firstLine="601"/>
        <w:jc w:val="center"/>
        <w:rPr>
          <w:rFonts w:ascii="Times New Roman" w:hAnsi="Times New Roman" w:cs="Times New Roman"/>
          <w:caps/>
          <w:sz w:val="24"/>
          <w:szCs w:val="24"/>
        </w:rPr>
      </w:pPr>
    </w:p>
    <w:p w:rsidR="008B6C17" w:rsidRPr="007F425D" w:rsidRDefault="008B6C17" w:rsidP="007F425D">
      <w:pPr>
        <w:spacing w:after="0" w:line="240" w:lineRule="auto"/>
        <w:ind w:firstLine="601"/>
        <w:jc w:val="center"/>
        <w:rPr>
          <w:rFonts w:ascii="Times New Roman" w:hAnsi="Times New Roman" w:cs="Times New Roman"/>
          <w:caps/>
          <w:sz w:val="24"/>
          <w:szCs w:val="24"/>
        </w:rPr>
      </w:pPr>
    </w:p>
    <w:p w:rsidR="008B6C17" w:rsidRPr="007F425D" w:rsidRDefault="008B6C17" w:rsidP="007F425D">
      <w:pPr>
        <w:spacing w:after="0" w:line="240" w:lineRule="auto"/>
        <w:ind w:firstLine="601"/>
        <w:jc w:val="center"/>
        <w:rPr>
          <w:rFonts w:ascii="Times New Roman" w:hAnsi="Times New Roman" w:cs="Times New Roman"/>
          <w:caps/>
          <w:sz w:val="28"/>
          <w:szCs w:val="28"/>
        </w:rPr>
      </w:pPr>
      <w:r w:rsidRPr="007F425D">
        <w:rPr>
          <w:rFonts w:ascii="Times New Roman" w:hAnsi="Times New Roman" w:cs="Times New Roman"/>
          <w:caps/>
          <w:sz w:val="28"/>
          <w:szCs w:val="28"/>
        </w:rPr>
        <w:t>4.6 захоронение (утилизации) ТБО</w:t>
      </w:r>
    </w:p>
    <w:p w:rsidR="008B6C17" w:rsidRPr="007F425D" w:rsidRDefault="008B6C17" w:rsidP="007F425D">
      <w:pPr>
        <w:spacing w:after="0" w:line="240" w:lineRule="auto"/>
        <w:ind w:firstLine="601"/>
        <w:jc w:val="center"/>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624"/>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обращения с ТБО</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грунтовой  дороги и асфальтобетонных участков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котлована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административно-бытового помещения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900,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6.4.</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пожарного резервуара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6.6.</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Ограждение полигона по всему периметру</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Освещение полигона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поливомоечной машины КО-829АД-01</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бульдозера  ДТ-170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6.10</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весового оборудования модели БВ2-30000-4.2 (1,2)</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6.11</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самоходного катка ДУ - 98</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6.12</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контрольно дезинфицирующей зоны</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bl>
    <w:p w:rsidR="008B6C17" w:rsidRPr="007F425D" w:rsidRDefault="008B6C17" w:rsidP="007F425D">
      <w:pPr>
        <w:widowControl w:val="0"/>
        <w:autoSpaceDE w:val="0"/>
        <w:autoSpaceDN w:val="0"/>
        <w:adjustRightInd w:val="0"/>
        <w:spacing w:after="0" w:line="240" w:lineRule="auto"/>
        <w:jc w:val="both"/>
        <w:outlineLvl w:val="3"/>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caps/>
          <w:sz w:val="28"/>
          <w:szCs w:val="28"/>
        </w:rPr>
      </w:pPr>
      <w:r w:rsidRPr="007F425D">
        <w:rPr>
          <w:rFonts w:ascii="Times New Roman" w:hAnsi="Times New Roman" w:cs="Times New Roman"/>
          <w:caps/>
          <w:sz w:val="28"/>
          <w:szCs w:val="28"/>
        </w:rPr>
        <w:t>4.7 ЭНЕРГОСБЕРЕЖЕНИе 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caps/>
          <w:sz w:val="28"/>
          <w:szCs w:val="28"/>
        </w:rPr>
      </w:pPr>
      <w:r w:rsidRPr="007F425D">
        <w:rPr>
          <w:rFonts w:ascii="Times New Roman" w:hAnsi="Times New Roman" w:cs="Times New Roman"/>
          <w:caps/>
          <w:sz w:val="28"/>
          <w:szCs w:val="28"/>
        </w:rPr>
        <w:t>ПОВЫШЕНИе ЭНЕРГЕТИЧЕСКОЙ ЭФФЕКТИВНОСТИ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caps/>
          <w:sz w:val="28"/>
          <w:szCs w:val="28"/>
        </w:rPr>
      </w:pPr>
    </w:p>
    <w:tbl>
      <w:tblPr>
        <w:tblW w:w="0" w:type="auto"/>
        <w:tblCellSpacing w:w="5" w:type="nil"/>
        <w:tblInd w:w="2" w:type="dxa"/>
        <w:tblLayout w:type="fixed"/>
        <w:tblCellMar>
          <w:left w:w="75" w:type="dxa"/>
          <w:right w:w="75" w:type="dxa"/>
        </w:tblCellMar>
        <w:tblLook w:val="0000"/>
      </w:tblPr>
      <w:tblGrid>
        <w:gridCol w:w="624"/>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и установка тепловых насосов в муниципальных учреждениях</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200,0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Переоборудование осветительного оборудования в муниципальных учреждениях с заменой неэффективного на энергосберегающее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Повышение эффективности тепловой защиты ограждающих конструкций зданий и сооружений  муниципальных учреждений с использованием современных материалов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Уличное освещение. Модернизация систем и объектов наружного освещения путем замены светильников уличного освещения с неэффективными дуговыми лампами высокого давления на светодиодные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Субсидии на возмещение затрат от реализации мероприятий по энергосбережению и повышению энергетической эффективности в отношении общего имущества собственников помещений в многоквартирных домах на территории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Разработка энергетических паспортов жилых зданий с присвоением класса эффективности, энергетические обследования зданий, строений и сооружений предприятий ЖКХ, с разработкой энергетического паспорта, технические освидетельствование зданий, строений и сооружений</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Реконструкция угольной котельной с переводом на сжиженный газ, с переходом в дальнейшем на природный газ в пос. Вьюжном мощностью 1,2 МВт</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Строительство локальных котельных в северной части города взамен котельной ВМЗ суммарной мощностью 25 МВт</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Модернизация электроснабжения насосной станции теплоснабжения и ЦТП в северной части города с доведением надежности электроснабжения до 1 категории надежности с заменой  сетевых насосов и частотного преобразователя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Замена устаревшего энергоемкого оборудования на современное энергоэффективное на объектах ЖКХ</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проектов установки приборов учета на участки МУП «Водоканал»</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Актуализация схемы теплоснабжения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caps/>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СОВОКУПНЫЕ ВЛОЖЕНИЯ</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ПО СИСТЕМАМ КОММУНАЛЬНОЙ ИНФРАСТРУКТУРЫ</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567"/>
        <w:gridCol w:w="2665"/>
        <w:gridCol w:w="1417"/>
        <w:gridCol w:w="1134"/>
        <w:gridCol w:w="1247"/>
        <w:gridCol w:w="1134"/>
        <w:gridCol w:w="1134"/>
        <w:gridCol w:w="1134"/>
        <w:gridCol w:w="1247"/>
      </w:tblGrid>
      <w:tr w:rsidR="008B6C17" w:rsidRPr="007F425D">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системы</w:t>
            </w:r>
          </w:p>
        </w:tc>
        <w:tc>
          <w:tcPr>
            <w:tcW w:w="141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30"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665"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323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573200,9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23198,66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92464,0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73118,0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73320,0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120818,2</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190282,0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водоотведения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электроснабжения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газоснабжения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обращения с ТБО</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bl>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4"/>
          <w:szCs w:val="24"/>
        </w:rPr>
      </w:pP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8"/>
          <w:szCs w:val="28"/>
        </w:rPr>
      </w:pPr>
      <w:r w:rsidRPr="007F425D">
        <w:rPr>
          <w:rFonts w:ascii="Times New Roman" w:hAnsi="Times New Roman" w:cs="Times New Roman"/>
          <w:caps/>
          <w:sz w:val="24"/>
          <w:szCs w:val="24"/>
        </w:rPr>
        <w:br w:type="page"/>
      </w:r>
    </w:p>
    <w:p w:rsidR="008B6C17" w:rsidRPr="007F425D" w:rsidRDefault="008B6C17" w:rsidP="007F425D">
      <w:pPr>
        <w:pStyle w:val="Heading1"/>
        <w:tabs>
          <w:tab w:val="left" w:pos="9072"/>
          <w:tab w:val="left" w:pos="10773"/>
          <w:tab w:val="left" w:pos="11624"/>
        </w:tabs>
        <w:spacing w:line="240" w:lineRule="auto"/>
        <w:ind w:firstLine="540"/>
        <w:jc w:val="both"/>
        <w:rPr>
          <w:color w:val="auto"/>
        </w:rPr>
      </w:pPr>
      <w:r w:rsidRPr="007F425D">
        <w:rPr>
          <w:color w:val="auto"/>
        </w:rPr>
        <w:tab/>
        <w:t>Приложение № 1</w:t>
      </w:r>
    </w:p>
    <w:p w:rsidR="008B6C17" w:rsidRPr="007F425D" w:rsidRDefault="008B6C17" w:rsidP="007F425D">
      <w:pPr>
        <w:pStyle w:val="Heading1"/>
        <w:tabs>
          <w:tab w:val="left" w:pos="8789"/>
          <w:tab w:val="left" w:pos="9072"/>
          <w:tab w:val="left" w:pos="10773"/>
          <w:tab w:val="left" w:pos="11624"/>
        </w:tabs>
        <w:spacing w:line="240" w:lineRule="auto"/>
        <w:ind w:left="9072"/>
        <w:jc w:val="both"/>
        <w:rPr>
          <w:color w:val="auto"/>
        </w:rPr>
      </w:pPr>
      <w:r w:rsidRPr="007F425D">
        <w:rPr>
          <w:color w:val="auto"/>
        </w:rPr>
        <w:t>к программе «Комплексное развитие систем коммунальной инфраструктуры Волчанского городского округа до 2030 года»</w:t>
      </w:r>
    </w:p>
    <w:p w:rsidR="008B6C17" w:rsidRPr="007F425D" w:rsidRDefault="008B6C17" w:rsidP="007F425D">
      <w:pPr>
        <w:spacing w:line="240" w:lineRule="auto"/>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 xml:space="preserve">ЦЕЛИ, ЗАДАЧИ И </w:t>
      </w:r>
      <w:hyperlink r:id="rId14" w:history="1">
        <w:r w:rsidRPr="007F425D">
          <w:rPr>
            <w:rFonts w:ascii="Times New Roman" w:hAnsi="Times New Roman" w:cs="Times New Roman"/>
            <w:b/>
            <w:bCs/>
            <w:sz w:val="28"/>
            <w:szCs w:val="28"/>
          </w:rPr>
          <w:t>ЦЕЛЕВЫЕ ПОКАЗАТЕЛИ</w:t>
        </w:r>
      </w:hyperlink>
      <w:r w:rsidRPr="007F425D">
        <w:rPr>
          <w:rFonts w:ascii="Times New Roman" w:hAnsi="Times New Roman" w:cs="Times New Roman"/>
          <w:b/>
          <w:bCs/>
          <w:sz w:val="28"/>
          <w:szCs w:val="28"/>
        </w:rPr>
        <w:t>РЕАЛИЗАЦИИ ПРОГРАММЫ «КОМПЛЕКСНОЕ РАЗВИТИЕ СИСТЕМ КОММУНАЛЬНОЙ ИНФРАСТРУКТУРЫ ВОЛЧАНСКОГО ГОРОДСКОГО ОКРУГА ДО 2030 ГОДА»</w:t>
      </w:r>
    </w:p>
    <w:p w:rsidR="008B6C17" w:rsidRPr="007F425D" w:rsidRDefault="008B6C17" w:rsidP="007F425D">
      <w:pPr>
        <w:spacing w:after="0" w:line="240" w:lineRule="auto"/>
        <w:ind w:firstLine="709"/>
        <w:jc w:val="center"/>
        <w:rPr>
          <w:rFonts w:ascii="Times New Roman" w:hAnsi="Times New Roman" w:cs="Times New Roman"/>
          <w:b/>
          <w:bCs/>
          <w:sz w:val="24"/>
          <w:szCs w:val="24"/>
        </w:rPr>
      </w:pPr>
    </w:p>
    <w:p w:rsidR="008B6C17" w:rsidRPr="007F425D" w:rsidRDefault="008B6C17" w:rsidP="007F425D">
      <w:pPr>
        <w:spacing w:line="240" w:lineRule="auto"/>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624"/>
        <w:gridCol w:w="3175"/>
        <w:gridCol w:w="1191"/>
        <w:gridCol w:w="1928"/>
        <w:gridCol w:w="2665"/>
      </w:tblGrid>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п/п</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Целевой индикатор</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 изм.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Значение индикатора до реализации программы</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Изменение</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1.</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ТЕПЛОСНАБЖЕНИЯ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теплоснабжения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потерь</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30%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теплоснабжения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более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13,4 (4 км)</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более  чем 25%</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2.</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ВОДОСНАБЖЕНИЯ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водоснабжения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0,004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потерь</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30%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водоснабжения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29,5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25%</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3.</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ВОДООТВЕДЕНИЯ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водоотведения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0,005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водоотведения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33,2</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4.</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ЭЛЕКТРОСНАБЖЕНИЯ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электроснабжения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сетей электроснабжения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5.</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ГАЗОСНАБЖЕНИЯ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газоснабжения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снижение до 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сетей газоснабжения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1,98</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6.</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УТИЛИЗАЦИИ ТБО</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Количество несанкционированных свалок</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сокращение до 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Общая мощность полигонов по утилизации (захоронению) ТБО</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м2</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 Га</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сохранение на прежнем уровне</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Объем принимаемых твердых бытовых отходов на объектах, используемых для утилизации (захоронения) ТБО</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м3 / год</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18,26</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сохранение на прежнем уровне</w:t>
            </w:r>
          </w:p>
        </w:tc>
      </w:tr>
    </w:tbl>
    <w:p w:rsidR="008B6C17" w:rsidRPr="007F425D" w:rsidRDefault="008B6C17" w:rsidP="007F425D">
      <w:pPr>
        <w:pStyle w:val="Heading1"/>
        <w:tabs>
          <w:tab w:val="left" w:pos="10773"/>
        </w:tabs>
        <w:spacing w:line="240" w:lineRule="auto"/>
        <w:ind w:firstLine="708"/>
        <w:jc w:val="both"/>
        <w:rPr>
          <w:sz w:val="24"/>
          <w:szCs w:val="24"/>
        </w:rPr>
      </w:pPr>
      <w:r w:rsidRPr="007F425D">
        <w:rPr>
          <w:color w:val="auto"/>
          <w:sz w:val="24"/>
          <w:szCs w:val="24"/>
        </w:rPr>
        <w:tab/>
      </w:r>
    </w:p>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4"/>
          <w:szCs w:val="24"/>
        </w:rPr>
        <w:sectPr w:rsidR="008B6C17" w:rsidRPr="007F425D" w:rsidSect="00FA4255">
          <w:pgSz w:w="16838" w:h="11906" w:orient="landscape"/>
          <w:pgMar w:top="567" w:right="851" w:bottom="567" w:left="1418" w:header="709" w:footer="709" w:gutter="0"/>
          <w:cols w:space="708"/>
          <w:docGrid w:linePitch="360"/>
        </w:sectPr>
      </w:pPr>
    </w:p>
    <w:p w:rsidR="008B6C17" w:rsidRPr="007F425D" w:rsidRDefault="008B6C17" w:rsidP="007F425D">
      <w:pPr>
        <w:widowControl w:val="0"/>
        <w:autoSpaceDE w:val="0"/>
        <w:autoSpaceDN w:val="0"/>
        <w:adjustRightInd w:val="0"/>
        <w:spacing w:after="0" w:line="240" w:lineRule="auto"/>
        <w:jc w:val="center"/>
        <w:outlineLvl w:val="1"/>
        <w:rPr>
          <w:rFonts w:ascii="Times New Roman" w:hAnsi="Times New Roman" w:cs="Times New Roman"/>
          <w:sz w:val="28"/>
          <w:szCs w:val="28"/>
        </w:rPr>
      </w:pPr>
      <w:r w:rsidRPr="007F425D">
        <w:rPr>
          <w:rFonts w:ascii="Times New Roman" w:hAnsi="Times New Roman" w:cs="Times New Roman"/>
          <w:caps/>
          <w:sz w:val="28"/>
          <w:szCs w:val="28"/>
        </w:rPr>
        <w:t xml:space="preserve">Раздел 5 </w:t>
      </w:r>
      <w:r w:rsidRPr="007F425D">
        <w:rPr>
          <w:rFonts w:ascii="Times New Roman" w:hAnsi="Times New Roman" w:cs="Times New Roman"/>
          <w:sz w:val="28"/>
          <w:szCs w:val="28"/>
        </w:rPr>
        <w:t>АНАЛИЗ ФАКТИЧЕСКИХ И ПЛАНОВЫХ РАСХОДОВ</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НА ФИНАНСИРОВАНИЕ ИНВЕСТИЦИОННЫХ ПРОЕКТОВ</w:t>
      </w: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В </w:t>
      </w:r>
      <w:hyperlink w:anchor="Par2975" w:history="1">
        <w:r w:rsidRPr="007F425D">
          <w:rPr>
            <w:rFonts w:ascii="Times New Roman" w:hAnsi="Times New Roman" w:cs="Times New Roman"/>
            <w:sz w:val="28"/>
            <w:szCs w:val="28"/>
          </w:rPr>
          <w:t>таблице 8</w:t>
        </w:r>
      </w:hyperlink>
      <w:r w:rsidRPr="007F425D">
        <w:rPr>
          <w:rFonts w:ascii="Times New Roman" w:hAnsi="Times New Roman" w:cs="Times New Roman"/>
          <w:sz w:val="28"/>
          <w:szCs w:val="28"/>
        </w:rPr>
        <w:t xml:space="preserve"> представлены капитальные вложения с разбивкой по источникам финансирования по всем системам коммунальной инфраструктуры, необходимые для реализации Программы.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В </w:t>
      </w:r>
      <w:hyperlink w:anchor="Par9449" w:history="1">
        <w:r w:rsidRPr="007F425D">
          <w:rPr>
            <w:rFonts w:ascii="Times New Roman" w:hAnsi="Times New Roman" w:cs="Times New Roman"/>
            <w:sz w:val="28"/>
            <w:szCs w:val="28"/>
          </w:rPr>
          <w:t>таблице 8.1</w:t>
        </w:r>
      </w:hyperlink>
      <w:r w:rsidRPr="007F425D">
        <w:rPr>
          <w:rFonts w:ascii="Times New Roman" w:hAnsi="Times New Roman" w:cs="Times New Roman"/>
          <w:sz w:val="28"/>
          <w:szCs w:val="28"/>
        </w:rPr>
        <w:t xml:space="preserve"> представлены сводные капитальные вложения по годам при реализации Программы «Комплексное развитие систем коммунальной инфраструктуры Волчанского городского округа  до 2030 года».</w:t>
      </w: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Таблица 8. КАПИТАЛЬНЫЕ ВЛОЖЕНИЯ</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ПО ИСТОЧНИКАМ ФИНАНСИРОВАНИЯ</w:t>
      </w:r>
    </w:p>
    <w:tbl>
      <w:tblPr>
        <w:tblW w:w="15138" w:type="dxa"/>
        <w:tblCellSpacing w:w="5" w:type="nil"/>
        <w:tblInd w:w="2" w:type="dxa"/>
        <w:tblLayout w:type="fixed"/>
        <w:tblCellMar>
          <w:left w:w="75" w:type="dxa"/>
          <w:right w:w="75" w:type="dxa"/>
        </w:tblCellMar>
        <w:tblLook w:val="0000"/>
      </w:tblPr>
      <w:tblGrid>
        <w:gridCol w:w="793"/>
        <w:gridCol w:w="62"/>
        <w:gridCol w:w="73"/>
        <w:gridCol w:w="3268"/>
        <w:gridCol w:w="13"/>
        <w:gridCol w:w="60"/>
        <w:gridCol w:w="2449"/>
        <w:gridCol w:w="1404"/>
        <w:gridCol w:w="1080"/>
        <w:gridCol w:w="54"/>
        <w:gridCol w:w="1247"/>
        <w:gridCol w:w="117"/>
        <w:gridCol w:w="1042"/>
        <w:gridCol w:w="96"/>
        <w:gridCol w:w="806"/>
        <w:gridCol w:w="169"/>
        <w:gridCol w:w="944"/>
        <w:gridCol w:w="31"/>
        <w:gridCol w:w="1430"/>
      </w:tblGrid>
      <w:tr w:rsidR="008B6C17" w:rsidRPr="007F425D">
        <w:trPr>
          <w:tblCellSpacing w:w="5" w:type="nil"/>
        </w:trPr>
        <w:tc>
          <w:tcPr>
            <w:tcW w:w="928" w:type="dxa"/>
            <w:gridSpan w:val="3"/>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341" w:type="dxa"/>
            <w:gridSpan w:val="3"/>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2449"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40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16" w:type="dxa"/>
            <w:gridSpan w:val="11"/>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928" w:type="dxa"/>
            <w:gridSpan w:val="3"/>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341" w:type="dxa"/>
            <w:gridSpan w:val="3"/>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449"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81248,0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81248,0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Установка источника резервного питания для угольной котельной пос.Вьюжный (100 кВт., 380В)</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Субсидии на возмещение затрат на модернизацию и капитальный ремонт сетей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тепловой изоляции тепловых сетей, обеспечивающей снижение тепловых потерь в 3 раза (Ду ср.150мм, протяженность 7,2 км. в 2-х трубном исполнении)</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термической деаэрации (с использованием источника пара)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коммунальных сетей к жилым домам</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трубопровода =250 мм от камеры № 16 по ул.Базарная, Школьная, М.Горького, Кооперативная до ул.Социалистическая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термической деаэрации (с использованием источника пара)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коммунальных сетей к жилым домам</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Предоставление субсидий на возмещение затрат на выполнение работ по замене оборудования котельной поселка Вьюжный Волчанского городского округа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резервного источника питания по электроснабжению НСТС и ЦТП</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Получение заключения экспертизы промышленной безопасности на котел ДЕ-16-14 ГМ № 3</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w:t>
            </w:r>
          </w:p>
        </w:tc>
        <w:tc>
          <w:tcPr>
            <w:tcW w:w="3416"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Монтаж узла коммерческого учета тепловой энергии на газовой котельной МУП «Волчанский ТЭК» по адресу ул.Физкультурная 19</w:t>
            </w:r>
          </w:p>
        </w:tc>
        <w:tc>
          <w:tcPr>
            <w:tcW w:w="250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Установка источника резервного питания для НС 1-го подъема водоснабжения станции Лесная Волчанка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и капитальный ремонт водопроводных сетей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организации зон санитарной охраны (ЗСО) водозабора по водозаборному участку скважин № 1 и № 2 станции Лесная Волчанка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водовода питьевой воды от  НС 2 подъема до НС 3 подъема участка водоснабжение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водовода питьевой воды от  НС 2 подъема до НС 3 подъема участка водоснабжение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ВОДООТВЕДЕНИЯ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2023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Проектирование  и строительство блочной газовой котельной с подводящим газопроводом до Северных ОСК</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модернизацию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Реконструкция здания КНС северных ОСК</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МУП «Водоканал» </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дополнительного фидера 6кВ ОРУ 6кВ, ТП 6/0,4 кВ для КНС Южных очистных сооружений канализации</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ЭЛЕКТРОСНАБЖЕНИЯ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rHeight w:val="114"/>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Наружное освещение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Обслуживание сетей наружного освещения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Приобретение опор уличного освещения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ГАЗОСНАБЖЕНИЯ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223168,86</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30098,0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223168,86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30098,0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подземного газопровода высокого давления протяжённостью 0,25 км и надземного газопровода низкого давления протяжённостью 2,4 км</w:t>
            </w: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3,2 км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bookmarkStart w:id="12" w:name="Par2989"/>
            <w:bookmarkEnd w:id="12"/>
            <w:r w:rsidRPr="007F425D">
              <w:rPr>
                <w:rFonts w:ascii="Times New Roman" w:hAnsi="Times New Roman" w:cs="Times New Roman"/>
                <w:sz w:val="24"/>
                <w:szCs w:val="24"/>
              </w:rPr>
              <w:t>5.6</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5,3 км </w:t>
            </w: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Проектирование надземного газопровода низкого давления протяженностью 7,3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i/>
                <w:iCs/>
                <w:sz w:val="24"/>
                <w:szCs w:val="24"/>
              </w:rPr>
              <w:t>(Ст. Л. Волчанка)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Выполнение строительно-монтажных работ на объекте газоснабжения «Строительство подземного газопровода высокого давления и ГРП для газификации МОУ СОШ № 31»</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5.10</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Выполнение строительно-монтажных работ на объекте газоснабжения «Расширение газовых сетей поселка Вьюжный МО Волчанский городской округ»</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5.11</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протяжённостью 9,5 км – объект газоснабжения «Внутрипоселковый газопровод северной части города Волчанска,</w:t>
            </w:r>
            <w:r w:rsidRPr="007F425D">
              <w:rPr>
                <w:rFonts w:ascii="Times New Roman" w:hAnsi="Times New Roman" w:cs="Times New Roman"/>
                <w:sz w:val="24"/>
                <w:szCs w:val="24"/>
              </w:rPr>
              <w:t xml:space="preserve">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p w:rsidR="008B6C17" w:rsidRPr="007F425D" w:rsidRDefault="008B6C17" w:rsidP="007F425D">
            <w:pPr>
              <w:pStyle w:val="ConsPlusCell"/>
              <w:jc w:val="both"/>
              <w:rPr>
                <w:rFonts w:ascii="Times New Roman" w:hAnsi="Times New Roman" w:cs="Times New Roman"/>
                <w:b/>
                <w:bCs/>
                <w:sz w:val="24"/>
                <w:szCs w:val="24"/>
              </w:rPr>
            </w:pP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5.12</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p w:rsidR="008B6C17" w:rsidRPr="007F425D" w:rsidRDefault="008B6C17" w:rsidP="007F425D">
            <w:pPr>
              <w:pStyle w:val="ConsPlusCell"/>
              <w:jc w:val="both"/>
              <w:rPr>
                <w:rFonts w:ascii="Times New Roman" w:hAnsi="Times New Roman" w:cs="Times New Roman"/>
                <w:b/>
                <w:bCs/>
                <w:sz w:val="24"/>
                <w:szCs w:val="24"/>
              </w:rPr>
            </w:pP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5.13</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Строительство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w:t>
            </w:r>
          </w:p>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 (от ул. Труда до ул. Северная)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5.14</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подземного газопровода высокого давления протяжённостью 0,25 км и надземного газопровода низкого давления протяжённостью 2,4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5.15</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протяженностью 3,2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5.16</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Строительство надземного газопровода низкого давления протяженностью 5,3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8326,0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8326,0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5.17</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протяженностью 7,3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5.18</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(Ст. Л. Волчанка)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bookmarkStart w:id="13" w:name="Par8901"/>
            <w:bookmarkEnd w:id="13"/>
            <w:r w:rsidRPr="007F425D">
              <w:rPr>
                <w:rFonts w:ascii="Times New Roman" w:hAnsi="Times New Roman" w:cs="Times New Roman"/>
                <w:sz w:val="24"/>
                <w:szCs w:val="24"/>
              </w:rPr>
              <w:t>СИСТЕМА ОБРАЩЕНИЯ С ТБО</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2023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bookmarkStart w:id="14" w:name="Par8926"/>
            <w:bookmarkEnd w:id="14"/>
            <w:r w:rsidRPr="007F425D">
              <w:rPr>
                <w:rFonts w:ascii="Times New Roman" w:hAnsi="Times New Roman" w:cs="Times New Roman"/>
                <w:sz w:val="24"/>
                <w:szCs w:val="24"/>
              </w:rPr>
              <w:t>6.1</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грунтовой  дороги и асфальтобетонных участков</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котлована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административно-бытового помещения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6.4</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пожарного резервуара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6.5</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Ограждение полигона по всему периметру</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6.6</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поливомоечной машины КО-829АД-01</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бульдозера  ДТ-170</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весового оборудования модели БВ2-30000-4.2 (1,2)</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самоходного катка ДУ - 98</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6.10</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контрольно дезинфицирующей зоны</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bookmarkStart w:id="15" w:name="Par9246"/>
            <w:bookmarkEnd w:id="15"/>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rHeight w:val="114"/>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Приобретение  и установка тепловых насосов в муниципальных учреждениях</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Переоборудование осветительного оборудования в муниципальных учреждениях с заменой неэффективного на энергосберегающее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Повышение эффективности тепловой защиты ограждающих конструкций зданий и сооружений  муниципальных учреждений с использованием современных материалов</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Уличное освещение. Модернизация систем и объектов наружного освещения путем замены светильников уличного освещения с неэффективными дуговыми лампами высокого давления на новые с использованием натриевых ламп высокого давления, а также систем управления уличным освещением и организацией многотарифного учета потребления электрической энергии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Субсидии на возмещение затрат от реализации мероприятий по энергосбережению и повышению энергетической эффективности в отношении общего имущества собственников помещений в многоквартирных домах на территории Волчанского городского округа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Разработка энергетических паспортов жилых зданий с присвоением класса эффективности,энергетические обследования зданий, строений и сооружений предприятий ЖКХ, с разработкой энергетического паспорта, технические освидетельствование зданий, строений и сооружений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7.8</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Реконструкция угольной котельной с переводом на сжиженный газ, с переходом в дальнейшем на природный газ в пос. Вьюжном мощностью 1,2 МВт</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7.9</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локальных котельных в северной части города взамен котельной ВМЗ суммарной мощностью 25 МВт</w:t>
            </w:r>
          </w:p>
          <w:p w:rsidR="008B6C17" w:rsidRPr="007F425D" w:rsidRDefault="008B6C17" w:rsidP="007F425D">
            <w:pPr>
              <w:pStyle w:val="ConsPlusCell"/>
              <w:jc w:val="both"/>
              <w:rPr>
                <w:rFonts w:ascii="Times New Roman" w:hAnsi="Times New Roman" w:cs="Times New Roman"/>
                <w:b/>
                <w:bCs/>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Модернизация электроснабжения насосной станции теплоснабжения и ЦТП в северной части города с доведением надежности электроснабжения до 1 категории надежности с заменой  сетевых насосов и частотного преобразователя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Замена устаревшего энергоемкого оборудования на современное энергоэффективное на объектах ЖКХ</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Разработка проектов установки приборов учета на участки МУП «Водоканал»</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Актуализация схемы теплоснабжения Волчанского городского округа</w:t>
            </w:r>
          </w:p>
          <w:p w:rsidR="008B6C17" w:rsidRPr="007F425D" w:rsidRDefault="008B6C17" w:rsidP="007F425D">
            <w:pPr>
              <w:pStyle w:val="ConsPlusCell"/>
              <w:jc w:val="both"/>
              <w:rPr>
                <w:rFonts w:ascii="Times New Roman" w:hAnsi="Times New Roman" w:cs="Times New Roman"/>
                <w:b/>
                <w:bCs/>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Таблица 8.1. СВОДНЫЙ РАЗМЕР КАПИТАЛЬНЫХ ВЛОЖЕНИЙ</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8"/>
          <w:szCs w:val="28"/>
        </w:rPr>
        <w:t>ПО ИСТОЧНИКАМ ФИНАНСИРО</w:t>
      </w:r>
      <w:r w:rsidRPr="007F425D">
        <w:rPr>
          <w:rFonts w:ascii="Times New Roman" w:hAnsi="Times New Roman" w:cs="Times New Roman"/>
          <w:sz w:val="24"/>
          <w:szCs w:val="24"/>
        </w:rPr>
        <w:t>ВАНИЯ</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605"/>
        <w:gridCol w:w="4762"/>
        <w:gridCol w:w="1247"/>
        <w:gridCol w:w="1134"/>
        <w:gridCol w:w="1247"/>
        <w:gridCol w:w="1191"/>
        <w:gridCol w:w="1191"/>
        <w:gridCol w:w="1085"/>
        <w:gridCol w:w="184"/>
        <w:gridCol w:w="1063"/>
      </w:tblGrid>
      <w:tr w:rsidR="008B6C17" w:rsidRPr="007F425D">
        <w:trPr>
          <w:tblCellSpacing w:w="5" w:type="nil"/>
        </w:trPr>
        <w:tc>
          <w:tcPr>
            <w:tcW w:w="68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п/п</w:t>
            </w:r>
          </w:p>
        </w:tc>
        <w:tc>
          <w:tcPr>
            <w:tcW w:w="476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мероприятий</w:t>
            </w:r>
          </w:p>
        </w:tc>
        <w:tc>
          <w:tcPr>
            <w:tcW w:w="124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95"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8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476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6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3784"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Сводный объем финансирования по всем системам</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 по источникам:</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573200,9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23198,66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92464,0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73118,0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73320,0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120818,2</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190282,0</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557340,9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91964,00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71618,0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71820,0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119318,2</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179422,0</w:t>
            </w:r>
          </w:p>
        </w:tc>
      </w:tr>
    </w:tbl>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4"/>
          <w:szCs w:val="24"/>
        </w:rPr>
      </w:pPr>
    </w:p>
    <w:p w:rsidR="008B6C17" w:rsidRPr="007F425D" w:rsidRDefault="008B6C17" w:rsidP="007F425D">
      <w:pPr>
        <w:shd w:val="clear" w:color="auto" w:fill="FFFFFF"/>
        <w:tabs>
          <w:tab w:val="left" w:pos="0"/>
        </w:tabs>
        <w:spacing w:before="5" w:line="240" w:lineRule="auto"/>
        <w:jc w:val="both"/>
        <w:rPr>
          <w:rFonts w:ascii="Times New Roman" w:hAnsi="Times New Roman" w:cs="Times New Roman"/>
          <w:caps/>
          <w:sz w:val="24"/>
          <w:szCs w:val="24"/>
        </w:rPr>
        <w:sectPr w:rsidR="008B6C17" w:rsidRPr="007F425D" w:rsidSect="00495D10">
          <w:pgSz w:w="16838" w:h="11906" w:orient="landscape"/>
          <w:pgMar w:top="851" w:right="851" w:bottom="851" w:left="1418" w:header="709" w:footer="709" w:gutter="0"/>
          <w:cols w:space="708"/>
          <w:docGrid w:linePitch="360"/>
        </w:sectPr>
      </w:pPr>
    </w:p>
    <w:p w:rsidR="008B6C17" w:rsidRPr="007F425D" w:rsidRDefault="008B6C17" w:rsidP="007F425D">
      <w:pPr>
        <w:shd w:val="clear" w:color="auto" w:fill="FFFFFF"/>
        <w:tabs>
          <w:tab w:val="left" w:pos="0"/>
        </w:tabs>
        <w:spacing w:after="0" w:line="240" w:lineRule="auto"/>
        <w:ind w:right="-1"/>
        <w:jc w:val="center"/>
        <w:rPr>
          <w:rFonts w:ascii="Times New Roman" w:hAnsi="Times New Roman" w:cs="Times New Roman"/>
          <w:sz w:val="28"/>
          <w:szCs w:val="28"/>
        </w:rPr>
      </w:pPr>
      <w:r w:rsidRPr="007F425D">
        <w:rPr>
          <w:rFonts w:ascii="Times New Roman" w:hAnsi="Times New Roman" w:cs="Times New Roman"/>
          <w:sz w:val="28"/>
          <w:szCs w:val="28"/>
        </w:rPr>
        <w:t>РАЗДЕЛ 6 УЛУЧШЕНИЕ ЭКОЛОГИЧЕСКОЙ СИТУАЦИИ В ВОЛЧАНСКОМ ГОРОДСКОМ ОКРУГЕ</w:t>
      </w: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Экологическая обстановка на территории Волчанского городского округа характеризуется как стабильная. Однако следует учитывать, что сложившееся стабильное состояние окружающей среды может быть нарушено в результате изменения структуры промышленного производства, изменения структуры топлива, используемого на предприятиях топливно-энергетического комплекса, увеличение количества автомобильного транспорта, активизации жилищного строительства без соответствующего развития коммунального хозяйства. Необходимо объективно оценивать опасность ухудшения показателей качества окружающей среды и принимать меры, обеспечивающие экологически ориентированный рост экономики, позволяющий минимизировать негативное воздействие на окружающую среду с целью сохранения природных систем, поддержания их целостности и жизнеобеспечивающих функций в целях повышения качества жизни граждан.</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Проблемы негативного воздействия на окружающую среду  отходов  производства и потребления являются актуальными для Волчанского городского округа и требуют постоянного внимания. Поэтому Программой предусмотрены мероприятия в сферах утилизации ТБО и водоотведения.</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Острой проблемой остается проблема ликвидации несанкционированных свалок ТБО, которые организует несознательная часть жителей и гостей города. </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Любая несанкционированная свалка  отходов  представляет угрозу для окружающей среды и здоровья человека: отравляющие вещества со свалок могут проникать в грунтовые воды, естественным водотоком загрязнять реки, они являются местом обитания крыс, насекомых и других животных, которые могут стать причиной возникновения эпидемий. Также появляется целый ряд проблем: загрязнение почв, атмосферного воздуха, появление неприятного запаха, нарушение ландшафта.</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Анализ существующего положения в сфере  обращения  с ТБО позволяет сделать вывод о необходимости решения проблем  обращения  этих  отходов  программными методами.</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В 2014 году ООО «Промстройинжиниринг» (г.Екатеринбург) разработана проектно-сметная документация на строительство полигона для размещения твердых бытовых (коммунальных) отходов города Волчанска».</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На основании вышеуказанного проекта:</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 площадь полигона внутри ограждения должна составить 5,1 га.;</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 санитарно-защитная зона по периметру – 50 м.;</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Финансовые вложения на строительство полигона площадью 5,1 га. в настоящее время составят ориентировочно 57263 тыс. руб. без учета потребности в необходимой специализированной технике. С учетом специальной автотранспортной техники размер финансовых вложений  на реализацию строительства полигона утилизации ТБО составит </w:t>
      </w:r>
      <w:r w:rsidRPr="007F425D">
        <w:rPr>
          <w:rFonts w:ascii="Times New Roman" w:hAnsi="Times New Roman" w:cs="Times New Roman"/>
          <w:sz w:val="28"/>
          <w:szCs w:val="28"/>
        </w:rPr>
        <w:sym w:font="Symbol" w:char="F0BB"/>
      </w:r>
      <w:r w:rsidRPr="007F425D">
        <w:rPr>
          <w:rFonts w:ascii="Times New Roman" w:hAnsi="Times New Roman" w:cs="Times New Roman"/>
          <w:sz w:val="28"/>
          <w:szCs w:val="28"/>
        </w:rPr>
        <w:t xml:space="preserve"> 80000 тыс. руб.</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решается вопрос о строительстве полигона утилизации ТБО на территории Волчанского городского округа в 2016-2017 годах.</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Разработана генеральная схема санитарной очистки населенных пунктов территории Волчанского городского округа и утверждена  решением Волчанской городской Думы от 17.02.2011 г. № 21 «Об утверждении «Генеральной схемы санитарной очистки населенных пунктов территории Волчанского городского округа».</w:t>
      </w:r>
    </w:p>
    <w:p w:rsidR="008B6C17" w:rsidRPr="007F425D" w:rsidRDefault="008B6C17" w:rsidP="007F425D">
      <w:pPr>
        <w:widowControl w:val="0"/>
        <w:tabs>
          <w:tab w:val="num" w:pos="0"/>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Проектом для мероприятий по водоотведению предлагается дальнейшее развитие двух существующих систем централизованной хоз-бытовой канализации города, для чего предусматривается:</w:t>
      </w:r>
    </w:p>
    <w:p w:rsidR="008B6C17" w:rsidRPr="007F425D" w:rsidRDefault="008B6C17" w:rsidP="007F425D">
      <w:pPr>
        <w:widowControl w:val="0"/>
        <w:tabs>
          <w:tab w:val="num" w:pos="0"/>
          <w:tab w:val="num" w:pos="1080"/>
        </w:tabs>
        <w:spacing w:after="0" w:line="240" w:lineRule="auto"/>
        <w:ind w:firstLine="720"/>
        <w:jc w:val="both"/>
        <w:rPr>
          <w:rFonts w:ascii="Times New Roman" w:hAnsi="Times New Roman" w:cs="Times New Roman"/>
          <w:b/>
          <w:bCs/>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очистных сооружений Северной и Южной частях города  с применением новых технологий очистки и доочистки стоков;</w:t>
      </w:r>
    </w:p>
    <w:p w:rsidR="008B6C17" w:rsidRPr="007F425D" w:rsidRDefault="008B6C17" w:rsidP="007F425D">
      <w:pPr>
        <w:spacing w:after="0" w:line="240" w:lineRule="auto"/>
        <w:ind w:right="-1"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развитие системы хоз-бытовой канализации города в районах малоэтажной существующей и проектируемой застройки</w:t>
      </w:r>
    </w:p>
    <w:p w:rsidR="008B6C17" w:rsidRPr="007F425D" w:rsidRDefault="008B6C17" w:rsidP="007F425D">
      <w:pPr>
        <w:spacing w:line="240" w:lineRule="auto"/>
        <w:ind w:right="-1" w:firstLine="709"/>
        <w:jc w:val="both"/>
        <w:rPr>
          <w:rFonts w:ascii="Times New Roman" w:hAnsi="Times New Roman" w:cs="Times New Roman"/>
          <w:sz w:val="28"/>
          <w:szCs w:val="28"/>
        </w:rPr>
      </w:pPr>
    </w:p>
    <w:p w:rsidR="008B6C17" w:rsidRPr="007F425D" w:rsidRDefault="008B6C17" w:rsidP="007F425D">
      <w:pPr>
        <w:spacing w:line="240" w:lineRule="auto"/>
        <w:ind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r w:rsidRPr="007F425D">
        <w:rPr>
          <w:rFonts w:ascii="Times New Roman" w:hAnsi="Times New Roman" w:cs="Times New Roman"/>
          <w:sz w:val="28"/>
          <w:szCs w:val="28"/>
        </w:rPr>
        <w:br w:type="page"/>
        <w:t>Приложение № 2</w:t>
      </w: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r w:rsidRPr="007F425D">
        <w:rPr>
          <w:rFonts w:ascii="Times New Roman" w:hAnsi="Times New Roman" w:cs="Times New Roman"/>
          <w:sz w:val="28"/>
          <w:szCs w:val="28"/>
        </w:rPr>
        <w:t>к программе «Комплексное развитие систем коммунальной инфраструктуры Волчанского</w:t>
      </w:r>
    </w:p>
    <w:p w:rsidR="008B6C17" w:rsidRPr="007F425D" w:rsidRDefault="008B6C17" w:rsidP="007F425D">
      <w:pPr>
        <w:shd w:val="clear" w:color="auto" w:fill="FFFFFF"/>
        <w:tabs>
          <w:tab w:val="left" w:pos="0"/>
        </w:tabs>
        <w:spacing w:after="0" w:line="240" w:lineRule="auto"/>
        <w:ind w:left="5103" w:right="-1"/>
        <w:jc w:val="both"/>
        <w:rPr>
          <w:rFonts w:ascii="Times New Roman" w:hAnsi="Times New Roman" w:cs="Times New Roman"/>
          <w:sz w:val="28"/>
          <w:szCs w:val="28"/>
        </w:rPr>
      </w:pPr>
      <w:r w:rsidRPr="007F425D">
        <w:rPr>
          <w:rFonts w:ascii="Times New Roman" w:hAnsi="Times New Roman" w:cs="Times New Roman"/>
          <w:sz w:val="28"/>
          <w:szCs w:val="28"/>
        </w:rPr>
        <w:t>городского округа до 2030 года»</w:t>
      </w:r>
    </w:p>
    <w:p w:rsidR="008B6C17" w:rsidRPr="007F425D" w:rsidRDefault="008B6C17" w:rsidP="007F425D">
      <w:pPr>
        <w:shd w:val="clear" w:color="auto" w:fill="FFFFFF"/>
        <w:tabs>
          <w:tab w:val="left" w:pos="0"/>
        </w:tabs>
        <w:spacing w:after="0" w:line="240" w:lineRule="auto"/>
        <w:ind w:right="-1"/>
        <w:jc w:val="both"/>
        <w:rPr>
          <w:rFonts w:ascii="Times New Roman" w:hAnsi="Times New Roman" w:cs="Times New Roman"/>
          <w:caps/>
          <w:sz w:val="28"/>
          <w:szCs w:val="28"/>
        </w:rPr>
      </w:pPr>
    </w:p>
    <w:p w:rsidR="008B6C17" w:rsidRPr="007F425D" w:rsidRDefault="008B6C17" w:rsidP="007F425D">
      <w:pPr>
        <w:shd w:val="clear" w:color="auto" w:fill="FFFFFF"/>
        <w:tabs>
          <w:tab w:val="left" w:pos="0"/>
        </w:tabs>
        <w:spacing w:before="5" w:line="240" w:lineRule="auto"/>
        <w:ind w:right="-1"/>
        <w:jc w:val="center"/>
        <w:rPr>
          <w:rFonts w:ascii="Times New Roman" w:hAnsi="Times New Roman" w:cs="Times New Roman"/>
          <w:sz w:val="28"/>
          <w:szCs w:val="28"/>
        </w:rPr>
      </w:pPr>
      <w:r w:rsidRPr="007F425D">
        <w:rPr>
          <w:rFonts w:ascii="Times New Roman" w:hAnsi="Times New Roman" w:cs="Times New Roman"/>
          <w:caps/>
          <w:sz w:val="28"/>
          <w:szCs w:val="28"/>
        </w:rPr>
        <w:t>Управление программой</w:t>
      </w:r>
    </w:p>
    <w:p w:rsidR="008B6C17" w:rsidRPr="007F425D" w:rsidRDefault="008B6C17" w:rsidP="007F425D">
      <w:pPr>
        <w:widowControl w:val="0"/>
        <w:autoSpaceDE w:val="0"/>
        <w:autoSpaceDN w:val="0"/>
        <w:adjustRightInd w:val="0"/>
        <w:spacing w:after="0" w:line="240" w:lineRule="auto"/>
        <w:ind w:right="-1"/>
        <w:jc w:val="center"/>
        <w:rPr>
          <w:rFonts w:ascii="Times New Roman" w:hAnsi="Times New Roman" w:cs="Times New Roman"/>
          <w:sz w:val="28"/>
          <w:szCs w:val="28"/>
        </w:rPr>
      </w:pPr>
      <w:r w:rsidRPr="007F425D">
        <w:rPr>
          <w:rFonts w:ascii="Times New Roman" w:hAnsi="Times New Roman" w:cs="Times New Roman"/>
          <w:sz w:val="28"/>
          <w:szCs w:val="28"/>
        </w:rPr>
        <w:t>ОПИСАНИЕ</w:t>
      </w:r>
    </w:p>
    <w:p w:rsidR="008B6C17" w:rsidRPr="007F425D" w:rsidRDefault="008B6C17" w:rsidP="007F425D">
      <w:pPr>
        <w:widowControl w:val="0"/>
        <w:autoSpaceDE w:val="0"/>
        <w:autoSpaceDN w:val="0"/>
        <w:adjustRightInd w:val="0"/>
        <w:spacing w:line="240" w:lineRule="auto"/>
        <w:ind w:right="-1"/>
        <w:jc w:val="center"/>
        <w:outlineLvl w:val="1"/>
        <w:rPr>
          <w:rFonts w:ascii="Times New Roman" w:hAnsi="Times New Roman" w:cs="Times New Roman"/>
          <w:sz w:val="24"/>
          <w:szCs w:val="24"/>
        </w:rPr>
      </w:pPr>
      <w:r w:rsidRPr="007F425D">
        <w:rPr>
          <w:rFonts w:ascii="Times New Roman" w:hAnsi="Times New Roman" w:cs="Times New Roman"/>
          <w:sz w:val="28"/>
          <w:szCs w:val="28"/>
        </w:rPr>
        <w:t>СИСТЕМЫ УПРАВЛЕНИЯ РЕАЛИЗАЦИЕЙ ПРОГРАММЫ</w:t>
      </w:r>
    </w:p>
    <w:tbl>
      <w:tblPr>
        <w:tblW w:w="0" w:type="auto"/>
        <w:tblCellSpacing w:w="5" w:type="nil"/>
        <w:tblInd w:w="2" w:type="dxa"/>
        <w:tblLayout w:type="fixed"/>
        <w:tblCellMar>
          <w:left w:w="75" w:type="dxa"/>
          <w:right w:w="75" w:type="dxa"/>
        </w:tblCellMar>
        <w:tblLook w:val="0000"/>
      </w:tblPr>
      <w:tblGrid>
        <w:gridCol w:w="4887"/>
        <w:gridCol w:w="4750"/>
      </w:tblGrid>
      <w:tr w:rsidR="008B6C17" w:rsidRPr="007F425D">
        <w:trPr>
          <w:trHeight w:val="1200"/>
          <w:tblCellSpacing w:w="5" w:type="nil"/>
        </w:trPr>
        <w:tc>
          <w:tcPr>
            <w:tcW w:w="496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 xml:space="preserve">Ответственный за реализацию       </w:t>
            </w:r>
            <w:r w:rsidRPr="007F425D">
              <w:rPr>
                <w:rFonts w:ascii="Times New Roman" w:hAnsi="Times New Roman" w:cs="Times New Roman"/>
                <w:sz w:val="28"/>
                <w:szCs w:val="28"/>
              </w:rPr>
              <w:br/>
              <w:t xml:space="preserve">программы в целом   </w:t>
            </w:r>
            <w:r w:rsidRPr="007F425D">
              <w:rPr>
                <w:rFonts w:ascii="Times New Roman" w:hAnsi="Times New Roman" w:cs="Times New Roman"/>
                <w:sz w:val="28"/>
                <w:szCs w:val="28"/>
              </w:rPr>
              <w:br/>
              <w:t xml:space="preserve">(наименование главного            </w:t>
            </w:r>
            <w:r w:rsidRPr="007F425D">
              <w:rPr>
                <w:rFonts w:ascii="Times New Roman" w:hAnsi="Times New Roman" w:cs="Times New Roman"/>
                <w:sz w:val="28"/>
                <w:szCs w:val="28"/>
              </w:rPr>
              <w:br/>
              <w:t xml:space="preserve">распорядителя бюджетных средств,  </w:t>
            </w:r>
            <w:r w:rsidRPr="007F425D">
              <w:rPr>
                <w:rFonts w:ascii="Times New Roman" w:hAnsi="Times New Roman" w:cs="Times New Roman"/>
                <w:sz w:val="28"/>
                <w:szCs w:val="28"/>
              </w:rPr>
              <w:br/>
              <w:t xml:space="preserve">Ф.И.О. и должность                </w:t>
            </w:r>
            <w:r w:rsidRPr="007F425D">
              <w:rPr>
                <w:rFonts w:ascii="Times New Roman" w:hAnsi="Times New Roman" w:cs="Times New Roman"/>
                <w:sz w:val="28"/>
                <w:szCs w:val="28"/>
              </w:rPr>
              <w:br/>
              <w:t xml:space="preserve">ответственного лица)              </w:t>
            </w:r>
          </w:p>
        </w:tc>
        <w:tc>
          <w:tcPr>
            <w:tcW w:w="47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ind w:right="-1"/>
              <w:jc w:val="both"/>
              <w:rPr>
                <w:rFonts w:ascii="Times New Roman" w:hAnsi="Times New Roman" w:cs="Times New Roman"/>
                <w:sz w:val="28"/>
                <w:szCs w:val="28"/>
              </w:rPr>
            </w:pPr>
            <w:r w:rsidRPr="007F425D">
              <w:rPr>
                <w:rFonts w:ascii="Times New Roman" w:hAnsi="Times New Roman" w:cs="Times New Roman"/>
                <w:sz w:val="28"/>
                <w:szCs w:val="28"/>
              </w:rPr>
              <w:t>Администрация Волчанского городского округа,</w:t>
            </w:r>
          </w:p>
          <w:p w:rsidR="008B6C17" w:rsidRPr="007F425D" w:rsidRDefault="008B6C17" w:rsidP="007F425D">
            <w:pPr>
              <w:widowControl w:val="0"/>
              <w:autoSpaceDE w:val="0"/>
              <w:autoSpaceDN w:val="0"/>
              <w:adjustRightInd w:val="0"/>
              <w:spacing w:after="0" w:line="240" w:lineRule="auto"/>
              <w:ind w:right="-1"/>
              <w:jc w:val="both"/>
              <w:rPr>
                <w:rFonts w:ascii="Times New Roman" w:hAnsi="Times New Roman" w:cs="Times New Roman"/>
                <w:sz w:val="28"/>
                <w:szCs w:val="28"/>
              </w:rPr>
            </w:pPr>
            <w:r w:rsidRPr="007F425D">
              <w:rPr>
                <w:rFonts w:ascii="Times New Roman" w:hAnsi="Times New Roman" w:cs="Times New Roman"/>
                <w:sz w:val="28"/>
                <w:szCs w:val="28"/>
              </w:rPr>
              <w:t>муниципальное казенное учреждение «Управление городского хозяйства»,</w:t>
            </w:r>
          </w:p>
          <w:p w:rsidR="008B6C17" w:rsidRPr="007F425D" w:rsidRDefault="008B6C17" w:rsidP="007F425D">
            <w:pPr>
              <w:widowControl w:val="0"/>
              <w:autoSpaceDE w:val="0"/>
              <w:autoSpaceDN w:val="0"/>
              <w:adjustRightInd w:val="0"/>
              <w:spacing w:after="0" w:line="240" w:lineRule="auto"/>
              <w:ind w:right="-1"/>
              <w:jc w:val="both"/>
              <w:rPr>
                <w:rFonts w:ascii="Times New Roman" w:hAnsi="Times New Roman" w:cs="Times New Roman"/>
                <w:sz w:val="28"/>
                <w:szCs w:val="28"/>
              </w:rPr>
            </w:pPr>
            <w:r w:rsidRPr="007F425D">
              <w:rPr>
                <w:rFonts w:ascii="Times New Roman" w:hAnsi="Times New Roman" w:cs="Times New Roman"/>
                <w:sz w:val="28"/>
                <w:szCs w:val="28"/>
              </w:rPr>
              <w:t>ООО «Север», МУП «Водоканал», МУП «ВТЭК», МУП «ВАЭТ»</w:t>
            </w:r>
          </w:p>
        </w:tc>
      </w:tr>
      <w:tr w:rsidR="008B6C17" w:rsidRPr="007F425D">
        <w:trPr>
          <w:trHeight w:val="600"/>
          <w:tblCellSpacing w:w="5" w:type="nil"/>
        </w:trPr>
        <w:tc>
          <w:tcPr>
            <w:tcW w:w="4962" w:type="dxa"/>
            <w:tcBorders>
              <w:left w:val="single" w:sz="4" w:space="0" w:color="auto"/>
              <w:bottom w:val="single" w:sz="4" w:space="0" w:color="auto"/>
              <w:right w:val="single" w:sz="4" w:space="0" w:color="auto"/>
            </w:tcBorders>
            <w:vAlign w:val="center"/>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 xml:space="preserve">Краткое описание порядка          </w:t>
            </w:r>
            <w:r w:rsidRPr="007F425D">
              <w:rPr>
                <w:rFonts w:ascii="Times New Roman" w:hAnsi="Times New Roman" w:cs="Times New Roman"/>
                <w:sz w:val="28"/>
                <w:szCs w:val="28"/>
              </w:rPr>
              <w:br/>
              <w:t xml:space="preserve">организации работы по реализации  </w:t>
            </w:r>
            <w:r w:rsidRPr="007F425D">
              <w:rPr>
                <w:rFonts w:ascii="Times New Roman" w:hAnsi="Times New Roman" w:cs="Times New Roman"/>
                <w:sz w:val="28"/>
                <w:szCs w:val="28"/>
              </w:rPr>
              <w:br/>
              <w:t xml:space="preserve">программы           </w:t>
            </w:r>
          </w:p>
        </w:tc>
        <w:tc>
          <w:tcPr>
            <w:tcW w:w="4750" w:type="dxa"/>
            <w:tcBorders>
              <w:left w:val="single" w:sz="4" w:space="0" w:color="auto"/>
              <w:bottom w:val="single" w:sz="4" w:space="0" w:color="auto"/>
              <w:right w:val="single" w:sz="4" w:space="0" w:color="auto"/>
            </w:tcBorders>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В соответствии с Порядком формирования и реализации муниципальных программ, утвержденным постановлением главы Волчанского городского округа от 20.11.2013 года № 921.</w:t>
            </w:r>
          </w:p>
        </w:tc>
      </w:tr>
      <w:tr w:rsidR="008B6C17" w:rsidRPr="007F425D">
        <w:trPr>
          <w:trHeight w:val="1200"/>
          <w:tblCellSpacing w:w="5" w:type="nil"/>
        </w:trPr>
        <w:tc>
          <w:tcPr>
            <w:tcW w:w="4962" w:type="dxa"/>
            <w:tcBorders>
              <w:left w:val="single" w:sz="4" w:space="0" w:color="auto"/>
              <w:bottom w:val="single" w:sz="4" w:space="0" w:color="auto"/>
              <w:right w:val="single" w:sz="4" w:space="0" w:color="auto"/>
            </w:tcBorders>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 xml:space="preserve">Наименование структурного         </w:t>
            </w:r>
            <w:r w:rsidRPr="007F425D">
              <w:rPr>
                <w:rFonts w:ascii="Times New Roman" w:hAnsi="Times New Roman" w:cs="Times New Roman"/>
                <w:sz w:val="28"/>
                <w:szCs w:val="28"/>
              </w:rPr>
              <w:br/>
              <w:t xml:space="preserve">подразделения главного            </w:t>
            </w:r>
            <w:r w:rsidRPr="007F425D">
              <w:rPr>
                <w:rFonts w:ascii="Times New Roman" w:hAnsi="Times New Roman" w:cs="Times New Roman"/>
                <w:sz w:val="28"/>
                <w:szCs w:val="28"/>
              </w:rPr>
              <w:br/>
              <w:t xml:space="preserve">распорядителя бюджетных средств,  </w:t>
            </w:r>
            <w:r w:rsidRPr="007F425D">
              <w:rPr>
                <w:rFonts w:ascii="Times New Roman" w:hAnsi="Times New Roman" w:cs="Times New Roman"/>
                <w:sz w:val="28"/>
                <w:szCs w:val="28"/>
              </w:rPr>
              <w:br/>
              <w:t xml:space="preserve">ответственного за координацию     </w:t>
            </w:r>
            <w:r w:rsidRPr="007F425D">
              <w:rPr>
                <w:rFonts w:ascii="Times New Roman" w:hAnsi="Times New Roman" w:cs="Times New Roman"/>
                <w:sz w:val="28"/>
                <w:szCs w:val="28"/>
              </w:rPr>
              <w:br/>
              <w:t xml:space="preserve">мероприятий программы           </w:t>
            </w:r>
          </w:p>
        </w:tc>
        <w:tc>
          <w:tcPr>
            <w:tcW w:w="4750" w:type="dxa"/>
            <w:tcBorders>
              <w:left w:val="single" w:sz="4" w:space="0" w:color="auto"/>
              <w:bottom w:val="single" w:sz="4" w:space="0" w:color="auto"/>
              <w:right w:val="single" w:sz="4" w:space="0" w:color="auto"/>
            </w:tcBorders>
            <w:vAlign w:val="center"/>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Муниципальное казенное учреждение «Управление городского хозяйства», Администрация Волчанского городского округа.</w:t>
            </w:r>
          </w:p>
        </w:tc>
      </w:tr>
      <w:tr w:rsidR="008B6C17" w:rsidRPr="007F425D">
        <w:trPr>
          <w:trHeight w:val="1200"/>
          <w:tblCellSpacing w:w="5" w:type="nil"/>
        </w:trPr>
        <w:tc>
          <w:tcPr>
            <w:tcW w:w="4962" w:type="dxa"/>
            <w:tcBorders>
              <w:left w:val="single" w:sz="4" w:space="0" w:color="auto"/>
              <w:bottom w:val="single" w:sz="4" w:space="0" w:color="auto"/>
              <w:right w:val="single" w:sz="4" w:space="0" w:color="auto"/>
            </w:tcBorders>
            <w:vAlign w:val="center"/>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 xml:space="preserve">Ответственный за мониторинг       </w:t>
            </w:r>
            <w:r w:rsidRPr="007F425D">
              <w:rPr>
                <w:rFonts w:ascii="Times New Roman" w:hAnsi="Times New Roman" w:cs="Times New Roman"/>
                <w:sz w:val="28"/>
                <w:szCs w:val="28"/>
              </w:rPr>
              <w:br/>
              <w:t xml:space="preserve">реализации          </w:t>
            </w:r>
            <w:r w:rsidRPr="007F425D">
              <w:rPr>
                <w:rFonts w:ascii="Times New Roman" w:hAnsi="Times New Roman" w:cs="Times New Roman"/>
                <w:sz w:val="28"/>
                <w:szCs w:val="28"/>
              </w:rPr>
              <w:br/>
              <w:t xml:space="preserve">программы и составление форм </w:t>
            </w:r>
            <w:r w:rsidRPr="007F425D">
              <w:rPr>
                <w:rFonts w:ascii="Times New Roman" w:hAnsi="Times New Roman" w:cs="Times New Roman"/>
                <w:sz w:val="28"/>
                <w:szCs w:val="28"/>
              </w:rPr>
              <w:br/>
              <w:t xml:space="preserve">отчетности о реализации  программы (Ф.И.О. и должность сотрудника)             </w:t>
            </w:r>
          </w:p>
        </w:tc>
        <w:tc>
          <w:tcPr>
            <w:tcW w:w="4750" w:type="dxa"/>
            <w:tcBorders>
              <w:left w:val="single" w:sz="4" w:space="0" w:color="auto"/>
              <w:bottom w:val="single" w:sz="4" w:space="0" w:color="auto"/>
              <w:right w:val="single" w:sz="4" w:space="0" w:color="auto"/>
            </w:tcBorders>
          </w:tcPr>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Отраднов С.К. – директор муниципального казенного учреждения</w:t>
            </w:r>
          </w:p>
          <w:p w:rsidR="008B6C17" w:rsidRPr="007F425D" w:rsidRDefault="008B6C17" w:rsidP="007F425D">
            <w:pPr>
              <w:pStyle w:val="ConsPlusCell"/>
              <w:ind w:right="-1"/>
              <w:jc w:val="both"/>
              <w:rPr>
                <w:rFonts w:ascii="Times New Roman" w:hAnsi="Times New Roman" w:cs="Times New Roman"/>
                <w:sz w:val="28"/>
                <w:szCs w:val="28"/>
              </w:rPr>
            </w:pPr>
            <w:r w:rsidRPr="007F425D">
              <w:rPr>
                <w:rFonts w:ascii="Times New Roman" w:hAnsi="Times New Roman" w:cs="Times New Roman"/>
                <w:sz w:val="28"/>
                <w:szCs w:val="28"/>
              </w:rPr>
              <w:t>«Управление городского хозяйства»</w:t>
            </w:r>
          </w:p>
        </w:tc>
      </w:tr>
    </w:tbl>
    <w:p w:rsidR="008B6C17" w:rsidRPr="007F425D" w:rsidRDefault="008B6C17" w:rsidP="007F425D">
      <w:pPr>
        <w:spacing w:line="240" w:lineRule="auto"/>
        <w:ind w:right="-1"/>
        <w:jc w:val="both"/>
        <w:rPr>
          <w:rFonts w:ascii="Times New Roman" w:hAnsi="Times New Roman" w:cs="Times New Roman"/>
          <w:sz w:val="24"/>
          <w:szCs w:val="24"/>
        </w:rPr>
      </w:pPr>
    </w:p>
    <w:p w:rsidR="008B6C17" w:rsidRPr="007F425D" w:rsidRDefault="008B6C17" w:rsidP="007F425D">
      <w:pPr>
        <w:spacing w:line="240" w:lineRule="auto"/>
        <w:ind w:right="-1"/>
        <w:jc w:val="both"/>
        <w:rPr>
          <w:rFonts w:ascii="Times New Roman" w:hAnsi="Times New Roman" w:cs="Times New Roman"/>
          <w:sz w:val="24"/>
          <w:szCs w:val="24"/>
        </w:rPr>
      </w:pPr>
    </w:p>
    <w:p w:rsidR="008B6C17" w:rsidRPr="007F425D" w:rsidRDefault="008B6C17" w:rsidP="007F425D">
      <w:pPr>
        <w:spacing w:after="0" w:line="240" w:lineRule="auto"/>
        <w:ind w:right="-1"/>
        <w:jc w:val="both"/>
        <w:rPr>
          <w:rFonts w:ascii="Times New Roman" w:hAnsi="Times New Roman" w:cs="Times New Roman"/>
          <w:sz w:val="24"/>
          <w:szCs w:val="24"/>
        </w:rPr>
      </w:pPr>
    </w:p>
    <w:p w:rsidR="008B6C17" w:rsidRPr="007F425D" w:rsidRDefault="008B6C17" w:rsidP="007F425D">
      <w:pPr>
        <w:spacing w:after="0" w:line="240" w:lineRule="auto"/>
        <w:ind w:right="-1"/>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rPr>
        <w:sectPr w:rsidR="008B6C17" w:rsidRPr="007F425D" w:rsidSect="00F51B76">
          <w:pgSz w:w="11906" w:h="16838"/>
          <w:pgMar w:top="1134" w:right="849" w:bottom="1134" w:left="1418" w:header="709" w:footer="709" w:gutter="0"/>
          <w:cols w:space="708"/>
          <w:docGrid w:linePitch="360"/>
        </w:sectPr>
      </w:pPr>
    </w:p>
    <w:p w:rsidR="008B6C17" w:rsidRPr="007F425D" w:rsidRDefault="008B6C17" w:rsidP="007F425D">
      <w:pPr>
        <w:spacing w:line="240" w:lineRule="auto"/>
        <w:ind w:firstLine="709"/>
        <w:jc w:val="center"/>
        <w:rPr>
          <w:rFonts w:ascii="Times New Roman" w:hAnsi="Times New Roman" w:cs="Times New Roman"/>
          <w:caps/>
          <w:sz w:val="28"/>
          <w:szCs w:val="28"/>
        </w:rPr>
      </w:pPr>
      <w:r w:rsidRPr="007F425D">
        <w:rPr>
          <w:rFonts w:ascii="Times New Roman" w:hAnsi="Times New Roman" w:cs="Times New Roman"/>
          <w:caps/>
          <w:sz w:val="28"/>
          <w:szCs w:val="28"/>
        </w:rPr>
        <w:t>Обосновывающие материалы</w:t>
      </w:r>
    </w:p>
    <w:p w:rsidR="008B6C17" w:rsidRPr="007F425D" w:rsidRDefault="008B6C17" w:rsidP="007F425D">
      <w:pPr>
        <w:spacing w:line="240" w:lineRule="auto"/>
        <w:ind w:firstLine="709"/>
        <w:jc w:val="center"/>
        <w:rPr>
          <w:rFonts w:ascii="Times New Roman" w:hAnsi="Times New Roman" w:cs="Times New Roman"/>
          <w:caps/>
          <w:sz w:val="28"/>
          <w:szCs w:val="28"/>
        </w:rPr>
      </w:pPr>
      <w:r w:rsidRPr="007F425D">
        <w:rPr>
          <w:rFonts w:ascii="Times New Roman" w:hAnsi="Times New Roman" w:cs="Times New Roman"/>
          <w:caps/>
          <w:sz w:val="28"/>
          <w:szCs w:val="28"/>
        </w:rPr>
        <w:t>Раздел 1 Перспективные показатели развития Волчанского городского округа для разработки программы</w:t>
      </w:r>
    </w:p>
    <w:p w:rsidR="008B6C17" w:rsidRPr="007F425D" w:rsidRDefault="008B6C17" w:rsidP="007F425D">
      <w:pPr>
        <w:spacing w:line="240" w:lineRule="auto"/>
        <w:ind w:firstLine="709"/>
        <w:jc w:val="center"/>
        <w:rPr>
          <w:rFonts w:ascii="Times New Roman" w:hAnsi="Times New Roman" w:cs="Times New Roman"/>
          <w:caps/>
          <w:sz w:val="28"/>
          <w:szCs w:val="28"/>
        </w:rPr>
      </w:pPr>
      <w:r w:rsidRPr="007F425D">
        <w:rPr>
          <w:rFonts w:ascii="Times New Roman" w:hAnsi="Times New Roman" w:cs="Times New Roman"/>
          <w:caps/>
          <w:sz w:val="28"/>
          <w:szCs w:val="28"/>
        </w:rPr>
        <w:t>Характеристика Муниципального образования</w:t>
      </w:r>
    </w:p>
    <w:p w:rsidR="008B6C17" w:rsidRPr="007F425D" w:rsidRDefault="008B6C17" w:rsidP="007F425D">
      <w:pPr>
        <w:spacing w:after="0" w:line="240" w:lineRule="auto"/>
        <w:ind w:firstLine="709"/>
        <w:jc w:val="both"/>
        <w:rPr>
          <w:rFonts w:ascii="Times New Roman" w:hAnsi="Times New Roman" w:cs="Times New Roman"/>
          <w:color w:val="333333"/>
          <w:sz w:val="28"/>
          <w:szCs w:val="28"/>
        </w:rPr>
      </w:pPr>
      <w:r w:rsidRPr="007F425D">
        <w:rPr>
          <w:rFonts w:ascii="Times New Roman" w:hAnsi="Times New Roman" w:cs="Times New Roman"/>
          <w:b/>
          <w:bCs/>
          <w:sz w:val="28"/>
          <w:szCs w:val="28"/>
        </w:rPr>
        <w:t xml:space="preserve">Волчанский </w:t>
      </w:r>
      <w:r w:rsidRPr="007F425D">
        <w:rPr>
          <w:rFonts w:ascii="Times New Roman" w:hAnsi="Times New Roman" w:cs="Times New Roman"/>
          <w:color w:val="333333"/>
          <w:sz w:val="28"/>
          <w:szCs w:val="28"/>
        </w:rPr>
        <w:t xml:space="preserve"> городской округ расположен на восточном склоне Северного Урала на реке Волчанка (правый приток Сосьвы, бассейн Оби), в 452 км к северу от Екатеринбурга. Ж.д. станция Лесная Волчанка. Город состоит из двух частей (Северная и Южная), разделенных угольным карьером. Окрестности заболочены. </w:t>
      </w:r>
    </w:p>
    <w:p w:rsidR="008B6C17" w:rsidRPr="007F425D" w:rsidRDefault="008B6C17" w:rsidP="007F425D">
      <w:pPr>
        <w:spacing w:after="0" w:line="240" w:lineRule="auto"/>
        <w:jc w:val="both"/>
        <w:rPr>
          <w:rFonts w:ascii="Times New Roman" w:hAnsi="Times New Roman" w:cs="Times New Roman"/>
          <w:b/>
          <w:bCs/>
          <w:color w:val="333333"/>
          <w:sz w:val="28"/>
          <w:szCs w:val="28"/>
        </w:rPr>
      </w:pPr>
      <w:r w:rsidRPr="007F425D">
        <w:rPr>
          <w:rFonts w:ascii="Times New Roman" w:hAnsi="Times New Roman" w:cs="Times New Roman"/>
          <w:b/>
          <w:bCs/>
          <w:color w:val="333333"/>
          <w:sz w:val="28"/>
          <w:szCs w:val="28"/>
        </w:rPr>
        <w:t>Рисунок 1. Положение города Волчанск на карте Свердловской области</w:t>
      </w:r>
    </w:p>
    <w:p w:rsidR="008B6C17" w:rsidRPr="007F425D" w:rsidRDefault="008B6C17" w:rsidP="007F425D">
      <w:pPr>
        <w:spacing w:line="240" w:lineRule="auto"/>
        <w:jc w:val="both"/>
        <w:rPr>
          <w:rFonts w:ascii="Times New Roman" w:hAnsi="Times New Roman" w:cs="Times New Roman"/>
          <w:b/>
          <w:bCs/>
          <w:color w:val="333333"/>
          <w:sz w:val="24"/>
          <w:szCs w:val="24"/>
        </w:rPr>
      </w:pPr>
    </w:p>
    <w:p w:rsidR="008B6C17" w:rsidRPr="007F425D" w:rsidRDefault="008B6C17" w:rsidP="007F425D">
      <w:pPr>
        <w:spacing w:line="240" w:lineRule="auto"/>
        <w:ind w:firstLine="709"/>
        <w:jc w:val="both"/>
        <w:rPr>
          <w:rFonts w:ascii="Times New Roman" w:hAnsi="Times New Roman" w:cs="Times New Roman"/>
          <w:color w:val="333333"/>
          <w:sz w:val="24"/>
          <w:szCs w:val="24"/>
          <w:highlight w:val="yellow"/>
        </w:rPr>
      </w:pPr>
      <w:hyperlink r:id="rId15" w:tgtFrame="_blank" w:history="1">
        <w:r w:rsidRPr="0016042C">
          <w:rPr>
            <w:rFonts w:ascii="Times New Roman" w:hAnsi="Times New Roman" w:cs="Times New Roman"/>
            <w:noProof/>
            <w:color w:val="0000FF"/>
            <w:sz w:val="24"/>
            <w:szCs w:val="24"/>
            <w:lang w:eastAsia="ru-RU"/>
          </w:rPr>
          <w:pict>
            <v:shape id="Рисунок 6" o:spid="_x0000_i1030" type="#_x0000_t75" alt="Карта окрестностей города Волчанск от НаКарте.RU" href="http://www.nakarte.ru/" style="width:300pt;height:222.75pt;visibility:visible" o:button="t">
              <v:fill o:detectmouseclick="t"/>
              <v:imagedata r:id="rId16" o:title="" croptop="2873f"/>
            </v:shape>
          </w:pict>
        </w:r>
      </w:hyperlink>
    </w:p>
    <w:p w:rsidR="008B6C17" w:rsidRPr="007F425D" w:rsidRDefault="008B6C17" w:rsidP="007F425D">
      <w:pPr>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В состав округа входят: поселок Вьюжный, поселок Макарьевка.</w:t>
      </w:r>
    </w:p>
    <w:p w:rsidR="008B6C17" w:rsidRPr="007F425D" w:rsidRDefault="008B6C17" w:rsidP="007F425D">
      <w:pPr>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Общая численность  населения городского округа -  9,843 тыс. человек, из которых  </w:t>
      </w:r>
      <w:r w:rsidRPr="007F425D">
        <w:rPr>
          <w:rFonts w:ascii="Times New Roman" w:hAnsi="Times New Roman" w:cs="Times New Roman"/>
          <w:sz w:val="28"/>
          <w:szCs w:val="28"/>
          <w:u w:val="single"/>
        </w:rPr>
        <w:t>97,5</w:t>
      </w:r>
      <w:r w:rsidRPr="007F425D">
        <w:rPr>
          <w:rFonts w:ascii="Times New Roman" w:hAnsi="Times New Roman" w:cs="Times New Roman"/>
          <w:sz w:val="28"/>
          <w:szCs w:val="28"/>
        </w:rPr>
        <w:t xml:space="preserve"> % (</w:t>
      </w:r>
      <w:r w:rsidRPr="007F425D">
        <w:rPr>
          <w:rFonts w:ascii="Times New Roman" w:hAnsi="Times New Roman" w:cs="Times New Roman"/>
          <w:sz w:val="28"/>
          <w:szCs w:val="28"/>
          <w:u w:val="single"/>
        </w:rPr>
        <w:t xml:space="preserve">9,588 </w:t>
      </w:r>
      <w:r w:rsidRPr="007F425D">
        <w:rPr>
          <w:rFonts w:ascii="Times New Roman" w:hAnsi="Times New Roman" w:cs="Times New Roman"/>
          <w:sz w:val="28"/>
          <w:szCs w:val="28"/>
        </w:rPr>
        <w:t xml:space="preserve">тыс. человек)  – городское население; </w:t>
      </w:r>
      <w:r w:rsidRPr="007F425D">
        <w:rPr>
          <w:rFonts w:ascii="Times New Roman" w:hAnsi="Times New Roman" w:cs="Times New Roman"/>
          <w:sz w:val="28"/>
          <w:szCs w:val="28"/>
          <w:u w:val="single"/>
        </w:rPr>
        <w:t>2,5</w:t>
      </w:r>
      <w:r w:rsidRPr="007F425D">
        <w:rPr>
          <w:rFonts w:ascii="Times New Roman" w:hAnsi="Times New Roman" w:cs="Times New Roman"/>
          <w:sz w:val="28"/>
          <w:szCs w:val="28"/>
        </w:rPr>
        <w:t xml:space="preserve"> % (</w:t>
      </w:r>
      <w:r w:rsidRPr="007F425D">
        <w:rPr>
          <w:rFonts w:ascii="Times New Roman" w:hAnsi="Times New Roman" w:cs="Times New Roman"/>
          <w:sz w:val="28"/>
          <w:szCs w:val="28"/>
          <w:u w:val="single"/>
        </w:rPr>
        <w:t>0,255</w:t>
      </w:r>
      <w:r w:rsidRPr="007F425D">
        <w:rPr>
          <w:rFonts w:ascii="Times New Roman" w:hAnsi="Times New Roman" w:cs="Times New Roman"/>
          <w:sz w:val="28"/>
          <w:szCs w:val="28"/>
        </w:rPr>
        <w:t xml:space="preserve"> тыс. человек)  – сельское население.</w:t>
      </w:r>
    </w:p>
    <w:p w:rsidR="008B6C17" w:rsidRPr="007F425D" w:rsidRDefault="008B6C17" w:rsidP="007F425D">
      <w:pPr>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Площадь муниципального образования составляет 47080 Га, в том числе:</w:t>
      </w:r>
    </w:p>
    <w:p w:rsidR="008B6C17" w:rsidRPr="007F425D" w:rsidRDefault="008B6C17" w:rsidP="007F425D">
      <w:pPr>
        <w:numPr>
          <w:ilvl w:val="2"/>
          <w:numId w:val="23"/>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площадь южной части – 424 Га;</w:t>
      </w:r>
    </w:p>
    <w:p w:rsidR="008B6C17" w:rsidRPr="007F425D" w:rsidRDefault="008B6C17" w:rsidP="007F425D">
      <w:pPr>
        <w:numPr>
          <w:ilvl w:val="2"/>
          <w:numId w:val="23"/>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площадь северной части – 615 Га;</w:t>
      </w:r>
    </w:p>
    <w:p w:rsidR="008B6C17" w:rsidRPr="007F425D" w:rsidRDefault="008B6C17" w:rsidP="007F425D">
      <w:pPr>
        <w:numPr>
          <w:ilvl w:val="2"/>
          <w:numId w:val="23"/>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площадь лесных угодий – 3183 Га;</w:t>
      </w:r>
    </w:p>
    <w:p w:rsidR="008B6C17" w:rsidRPr="007F425D" w:rsidRDefault="008B6C17" w:rsidP="007F425D">
      <w:pPr>
        <w:numPr>
          <w:ilvl w:val="2"/>
          <w:numId w:val="23"/>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сельскохозяйственные земли – 938 Га.</w:t>
      </w:r>
    </w:p>
    <w:p w:rsidR="008B6C17" w:rsidRPr="007F425D" w:rsidRDefault="008B6C17" w:rsidP="007F425D">
      <w:pPr>
        <w:pStyle w:val="NormalWeb"/>
        <w:ind w:firstLine="709"/>
        <w:jc w:val="both"/>
        <w:rPr>
          <w:sz w:val="28"/>
          <w:szCs w:val="28"/>
        </w:rPr>
      </w:pPr>
      <w:r w:rsidRPr="007F425D">
        <w:rPr>
          <w:sz w:val="28"/>
          <w:szCs w:val="28"/>
        </w:rPr>
        <w:t xml:space="preserve">Город Волчанск – один из самых молодых городов Северного Урала. В 1859 году партией золотоискателей обнаружено месторождение бурого угля. В 1890 годах началась разведка и изучение Волчанского угольного месторождения. Добыча угля открытым способом началась в 40-х годах </w:t>
      </w:r>
      <w:r w:rsidRPr="007F425D">
        <w:rPr>
          <w:sz w:val="28"/>
          <w:szCs w:val="28"/>
          <w:lang w:val="en-US"/>
        </w:rPr>
        <w:t>XX</w:t>
      </w:r>
      <w:r w:rsidRPr="007F425D">
        <w:rPr>
          <w:sz w:val="28"/>
          <w:szCs w:val="28"/>
        </w:rPr>
        <w:t xml:space="preserve"> века. 25 января 1956 г. поселок Лесная Волчанка преобразован в город Волчанск; старое название сохранено за железнодорожной станцией.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1969 г. начал работу Волчанский завод товаров народного потребления имени Свердлова, который в 1970 году передан оборонной промышленности, образовав Волчанский завод ТНП – филиал «Уралвагонзавода» имени Ф.Э. Дзержинского.</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17 декабря 1995 г. состоялся местный референдум по определению границ и структуры органов местного самоуправления муниципального образования город Волчанск.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Волчанск является самым маленьким городом в России, в котором есть собственная действующая трамвайная линия. Волчанский трамвай действует с 31 декабря 1951 года. Общая длина действующей линии около 7 километров.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состав городского округа входят г. Волчанск, пос. Вьюжный.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Большая часть территории округа покрыта таежным хвойным лесом. Водные артерии — притоки р. Большая Волчанка: Мостовая, Малая Волчанка, Луговая, Озерная, принадлежащие бассейну р. Сосьва и берущие начало из окружающих город болот. Имя городу дано по р. Волчанка, чье наименование может быть выведено как от русского «волк, волчий», так и мансийского названия реки — Валча (по версии П.С. Палласа, XVIII в.). Типичный горняцкий город, образованный двумя самостоятельными поселками — Северным и Южным, разделенными угольными карьерами.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По территории муниципалитета проходят газовые магистрали из северных районов Тюменской области и железнодорожная магистраль «Екатеринбург — Серов — Бокситы», федеральная автотрасса Екатеринбург –Хантымансийск.</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Ведущую роль в экономике городского округа играют два предприятия – ОАО «Волчанский уголь» и «Волчанский механический завод» (производство вагонов малых серий, комплектующих к вагонам, грузоподъемной тары, газовых баллонов), филиал  ОАО «НПК «Уралвагонзавод». Каждое предприятие обеспечивает занятость 13 и 32,6 % соответственно общего числа  занятых в экономике города. Градообразующие предприятия за 2014 год обеспечили 97,2 % объема отгруженных товаров. За последние четыре года градообразующие предприятия обеспечивали более 40 % налоговых поступлений от общей суммы собственных доходов.</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границах Волчанского городского округа работает одно сельскохозяйственное предприятие ОАО «Волчанское», 3 организации коммунального комплекса в сфере водо-теплоснабжения, водоотведения частной и муниципальной формы собственности, 302 субъекта малого предпринимательства.</w:t>
      </w:r>
    </w:p>
    <w:p w:rsidR="008B6C17" w:rsidRPr="007F425D" w:rsidRDefault="008B6C17" w:rsidP="007F425D">
      <w:pPr>
        <w:shd w:val="clear" w:color="auto" w:fill="FFFFFF"/>
        <w:tabs>
          <w:tab w:val="left" w:pos="1267"/>
        </w:tabs>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КЛИМАТИЧЕСКИЕ УСЛОВИЯ</w:t>
      </w:r>
    </w:p>
    <w:p w:rsidR="008B6C17" w:rsidRPr="007F425D" w:rsidRDefault="008B6C17" w:rsidP="007F425D">
      <w:pPr>
        <w:shd w:val="clear" w:color="auto" w:fill="FFFFFF"/>
        <w:tabs>
          <w:tab w:val="left" w:pos="1267"/>
        </w:tabs>
        <w:spacing w:after="0" w:line="240" w:lineRule="auto"/>
        <w:ind w:firstLine="709"/>
        <w:jc w:val="both"/>
        <w:rPr>
          <w:rFonts w:ascii="Times New Roman" w:hAnsi="Times New Roman" w:cs="Times New Roman"/>
          <w:b/>
          <w:bCs/>
          <w:sz w:val="28"/>
          <w:szCs w:val="28"/>
        </w:rPr>
      </w:pPr>
    </w:p>
    <w:p w:rsidR="008B6C17" w:rsidRPr="007F425D" w:rsidRDefault="008B6C17" w:rsidP="007F425D">
      <w:pPr>
        <w:widowControl w:val="0"/>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Природные условия территории Волчанского городского округа характеризуются резко континентальным климатом с продолжительной морозной зимой и коротким теплым летом.</w:t>
      </w:r>
    </w:p>
    <w:p w:rsidR="008B6C17" w:rsidRPr="007F425D" w:rsidRDefault="008B6C17" w:rsidP="007F425D">
      <w:pPr>
        <w:widowControl w:val="0"/>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На состояние атмосферы преобладающее влияние оказывает циркуляция воздушных масс с территории европейской части России и атмосферных фронтов с севера.</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Зимой территория находится под преимущественным влиянием сибирского антициклона, обусловливающим повсюду устойчивую морозную погоду с обильным снегопадом. Наблюдаются частые вторжения холодных воздушных масс с севера.</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Летом территория находится в основном в области низкого давления. Нередко происходит вторжение воздушных масс с Баренцева и Карского морей. Климатическая характеристика составлена по данным многолетних наблюдений.</w:t>
      </w:r>
    </w:p>
    <w:p w:rsidR="008B6C17" w:rsidRPr="007F425D" w:rsidRDefault="008B6C17" w:rsidP="007F425D">
      <w:pPr>
        <w:widowControl w:val="0"/>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Ветровой режим характеризуется преобладанием северного, северо-западного направлений ветра. Среднегодовая повторяемость направлений ветра приведена в табл. 1.</w:t>
      </w:r>
    </w:p>
    <w:p w:rsidR="008B6C17" w:rsidRPr="007F425D" w:rsidRDefault="008B6C17" w:rsidP="007F425D">
      <w:pPr>
        <w:widowControl w:val="0"/>
        <w:tabs>
          <w:tab w:val="left" w:pos="1080"/>
        </w:tabs>
        <w:spacing w:after="0" w:line="240" w:lineRule="auto"/>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Повторяемость направлений ветра, %</w:t>
      </w:r>
    </w:p>
    <w:p w:rsidR="008B6C17" w:rsidRPr="007F425D" w:rsidRDefault="008B6C17" w:rsidP="007F425D">
      <w:pPr>
        <w:tabs>
          <w:tab w:val="left" w:pos="1080"/>
        </w:tabs>
        <w:spacing w:line="240" w:lineRule="auto"/>
        <w:ind w:firstLine="720"/>
        <w:jc w:val="right"/>
        <w:rPr>
          <w:rFonts w:ascii="Times New Roman" w:hAnsi="Times New Roman" w:cs="Times New Roman"/>
          <w:sz w:val="28"/>
          <w:szCs w:val="28"/>
        </w:rPr>
      </w:pPr>
      <w:r w:rsidRPr="007F425D">
        <w:rPr>
          <w:rFonts w:ascii="Times New Roman" w:hAnsi="Times New Roman" w:cs="Times New Roman"/>
          <w:sz w:val="28"/>
          <w:szCs w:val="28"/>
        </w:rPr>
        <w:t>Таблица 1</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697"/>
        <w:gridCol w:w="850"/>
        <w:gridCol w:w="777"/>
        <w:gridCol w:w="720"/>
        <w:gridCol w:w="719"/>
        <w:gridCol w:w="719"/>
        <w:gridCol w:w="719"/>
        <w:gridCol w:w="719"/>
        <w:gridCol w:w="719"/>
        <w:gridCol w:w="1106"/>
      </w:tblGrid>
      <w:tr w:rsidR="008B6C17" w:rsidRPr="007F425D">
        <w:tc>
          <w:tcPr>
            <w:tcW w:w="1422"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Направление</w:t>
            </w:r>
          </w:p>
        </w:tc>
        <w:tc>
          <w:tcPr>
            <w:tcW w:w="431"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С</w:t>
            </w:r>
          </w:p>
        </w:tc>
        <w:tc>
          <w:tcPr>
            <w:tcW w:w="394"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СВ</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В</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ЮВ</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Ю</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ЮЗ</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З</w:t>
            </w:r>
          </w:p>
        </w:tc>
        <w:tc>
          <w:tcPr>
            <w:tcW w:w="365"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СЗ</w:t>
            </w:r>
          </w:p>
        </w:tc>
        <w:tc>
          <w:tcPr>
            <w:tcW w:w="561" w:type="pct"/>
          </w:tcPr>
          <w:p w:rsidR="008B6C17" w:rsidRPr="007F425D" w:rsidRDefault="008B6C17" w:rsidP="007F425D">
            <w:pPr>
              <w:spacing w:before="80" w:after="80" w:line="240" w:lineRule="auto"/>
              <w:jc w:val="both"/>
              <w:rPr>
                <w:rFonts w:ascii="Times New Roman" w:hAnsi="Times New Roman" w:cs="Times New Roman"/>
                <w:sz w:val="24"/>
                <w:szCs w:val="24"/>
              </w:rPr>
            </w:pPr>
            <w:r w:rsidRPr="007F425D">
              <w:rPr>
                <w:rFonts w:ascii="Times New Roman" w:hAnsi="Times New Roman" w:cs="Times New Roman"/>
                <w:sz w:val="24"/>
                <w:szCs w:val="24"/>
              </w:rPr>
              <w:t>Штиль</w:t>
            </w:r>
          </w:p>
        </w:tc>
      </w:tr>
      <w:tr w:rsidR="008B6C17" w:rsidRPr="007F425D">
        <w:tc>
          <w:tcPr>
            <w:tcW w:w="1422"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Повторяемость </w:t>
            </w:r>
          </w:p>
        </w:tc>
        <w:tc>
          <w:tcPr>
            <w:tcW w:w="431"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94"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27</w:t>
            </w:r>
          </w:p>
        </w:tc>
        <w:tc>
          <w:tcPr>
            <w:tcW w:w="3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561"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r>
    </w:tbl>
    <w:p w:rsidR="008B6C17" w:rsidRPr="007F425D" w:rsidRDefault="008B6C17" w:rsidP="007F425D">
      <w:pPr>
        <w:pStyle w:val="BodyTextIndent"/>
        <w:jc w:val="both"/>
        <w:rPr>
          <w:rFonts w:ascii="Times New Roman" w:hAnsi="Times New Roman" w:cs="Times New Roman"/>
        </w:rPr>
      </w:pPr>
    </w:p>
    <w:p w:rsidR="008B6C17" w:rsidRPr="007F425D" w:rsidRDefault="008B6C17" w:rsidP="007F425D">
      <w:pPr>
        <w:pStyle w:val="BodyTextIndent"/>
        <w:tabs>
          <w:tab w:val="left" w:pos="1080"/>
        </w:tabs>
        <w:jc w:val="both"/>
        <w:rPr>
          <w:rFonts w:ascii="Times New Roman" w:hAnsi="Times New Roman" w:cs="Times New Roman"/>
        </w:rPr>
      </w:pPr>
      <w:r w:rsidRPr="007F425D">
        <w:rPr>
          <w:rFonts w:ascii="Times New Roman" w:hAnsi="Times New Roman" w:cs="Times New Roman"/>
        </w:rPr>
        <w:t xml:space="preserve">Зимний период отмечается устойчивыми отрицательными температурами. Неустойчивая температура воздуха с поздними возвратами холодов и ранними заморозками характерна для летнего периода. Безморозный период продолжается 7 месяцев.         </w:t>
      </w:r>
    </w:p>
    <w:p w:rsidR="008B6C17" w:rsidRPr="007F425D" w:rsidRDefault="008B6C17" w:rsidP="007F425D">
      <w:pPr>
        <w:tabs>
          <w:tab w:val="left" w:pos="1080"/>
        </w:tabs>
        <w:spacing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Осадки выпадают преимущественно в теплый период года  (75%) в виде моросящих  дождей или сильных ливней.</w:t>
      </w:r>
    </w:p>
    <w:p w:rsidR="008B6C17" w:rsidRPr="007F425D" w:rsidRDefault="008B6C17" w:rsidP="007F425D">
      <w:pPr>
        <w:widowControl w:val="0"/>
        <w:tabs>
          <w:tab w:val="left" w:pos="1080"/>
        </w:tabs>
        <w:spacing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Устойчивый снежный покров образуется в первой декаде ноября и сохраняется  до первой декады апреля. Высота снежного покрова достигает в среднем 50-55 см.</w:t>
      </w:r>
    </w:p>
    <w:p w:rsidR="008B6C17" w:rsidRPr="007F425D" w:rsidRDefault="008B6C17" w:rsidP="007F425D">
      <w:pPr>
        <w:tabs>
          <w:tab w:val="left" w:pos="1080"/>
        </w:tabs>
        <w:spacing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w:t>
      </w:r>
    </w:p>
    <w:p w:rsidR="008B6C17" w:rsidRPr="007F425D" w:rsidRDefault="008B6C17" w:rsidP="007F425D">
      <w:pPr>
        <w:pStyle w:val="Heading6"/>
        <w:tabs>
          <w:tab w:val="left" w:pos="1080"/>
        </w:tabs>
        <w:spacing w:before="0" w:line="240" w:lineRule="auto"/>
        <w:ind w:firstLine="709"/>
        <w:jc w:val="both"/>
        <w:rPr>
          <w:rFonts w:ascii="Times New Roman" w:hAnsi="Times New Roman" w:cs="Times New Roman"/>
          <w:i w:val="0"/>
          <w:iCs w:val="0"/>
          <w:color w:val="auto"/>
          <w:sz w:val="28"/>
          <w:szCs w:val="28"/>
        </w:rPr>
      </w:pPr>
      <w:r w:rsidRPr="007F425D">
        <w:rPr>
          <w:rFonts w:ascii="Times New Roman" w:hAnsi="Times New Roman" w:cs="Times New Roman"/>
          <w:i w:val="0"/>
          <w:iCs w:val="0"/>
          <w:color w:val="auto"/>
          <w:sz w:val="28"/>
          <w:szCs w:val="28"/>
        </w:rPr>
        <w:t>Многолетние климатические характеристики</w:t>
      </w:r>
    </w:p>
    <w:p w:rsidR="008B6C17" w:rsidRPr="007F425D" w:rsidRDefault="008B6C17" w:rsidP="007F425D">
      <w:pPr>
        <w:widowControl w:val="0"/>
        <w:tabs>
          <w:tab w:val="left" w:pos="1080"/>
        </w:tabs>
        <w:spacing w:line="240" w:lineRule="auto"/>
        <w:ind w:firstLine="709"/>
        <w:jc w:val="right"/>
        <w:rPr>
          <w:rFonts w:ascii="Times New Roman" w:hAnsi="Times New Roman" w:cs="Times New Roman"/>
          <w:sz w:val="28"/>
          <w:szCs w:val="28"/>
        </w:rPr>
      </w:pPr>
      <w:r w:rsidRPr="007F425D">
        <w:rPr>
          <w:rFonts w:ascii="Times New Roman" w:hAnsi="Times New Roman" w:cs="Times New Roman"/>
          <w:color w:val="0000FF"/>
          <w:sz w:val="28"/>
          <w:szCs w:val="28"/>
        </w:rPr>
        <w:t xml:space="preserve"> </w:t>
      </w:r>
      <w:r w:rsidRPr="007F425D">
        <w:rPr>
          <w:rFonts w:ascii="Times New Roman" w:hAnsi="Times New Roman" w:cs="Times New Roman"/>
          <w:sz w:val="28"/>
          <w:szCs w:val="28"/>
        </w:rPr>
        <w:t>Таблица 2</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0"/>
        <w:gridCol w:w="776"/>
        <w:gridCol w:w="1268"/>
      </w:tblGrid>
      <w:tr w:rsidR="008B6C17" w:rsidRPr="007F425D">
        <w:trPr>
          <w:trHeight w:val="546"/>
        </w:trPr>
        <w:tc>
          <w:tcPr>
            <w:tcW w:w="3949" w:type="pct"/>
            <w:tcMar>
              <w:left w:w="57" w:type="dxa"/>
              <w:right w:w="57" w:type="dxa"/>
            </w:tcMar>
            <w:vAlign w:val="cente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Климатические характеристики</w:t>
            </w:r>
          </w:p>
        </w:tc>
        <w:tc>
          <w:tcPr>
            <w:tcW w:w="399" w:type="pct"/>
            <w:tcMar>
              <w:left w:w="28" w:type="dxa"/>
              <w:right w:w="28" w:type="dxa"/>
            </w:tcMar>
            <w:vAlign w:val="cente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Ед. изм.</w:t>
            </w:r>
          </w:p>
        </w:tc>
        <w:tc>
          <w:tcPr>
            <w:tcW w:w="653" w:type="pct"/>
            <w:tcMar>
              <w:left w:w="28" w:type="dxa"/>
              <w:right w:w="28" w:type="dxa"/>
            </w:tcMar>
            <w:vAlign w:val="cente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Значение</w:t>
            </w:r>
          </w:p>
        </w:tc>
      </w:tr>
      <w:tr w:rsidR="008B6C17" w:rsidRPr="007F425D">
        <w:trPr>
          <w:trHeight w:val="501"/>
        </w:trPr>
        <w:tc>
          <w:tcPr>
            <w:tcW w:w="3949" w:type="pct"/>
            <w:tcMar>
              <w:left w:w="57" w:type="dxa"/>
              <w:right w:w="57" w:type="dxa"/>
            </w:tcMa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  Средняя температура воздуха самого холодного месяца (январь)</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  Абсолютная минимальная температура воздуха</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  Средняя температура воздуха самого теплого месяца (июль)</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  Абсолютная максимальная температура воздуха</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5.  Средняя максимальная температура наиболее жаркого месяца</w:t>
            </w:r>
          </w:p>
          <w:p w:rsidR="008B6C17" w:rsidRPr="007F425D" w:rsidRDefault="008B6C17" w:rsidP="007F425D">
            <w:pPr>
              <w:widowControl w:val="0"/>
              <w:spacing w:line="240" w:lineRule="auto"/>
              <w:jc w:val="both"/>
              <w:rPr>
                <w:rFonts w:ascii="Times New Roman" w:hAnsi="Times New Roman" w:cs="Times New Roman"/>
                <w:b/>
                <w:bCs/>
                <w:sz w:val="24"/>
                <w:szCs w:val="24"/>
              </w:rPr>
            </w:pPr>
            <w:r w:rsidRPr="007F425D">
              <w:rPr>
                <w:rFonts w:ascii="Times New Roman" w:hAnsi="Times New Roman" w:cs="Times New Roman"/>
                <w:sz w:val="24"/>
                <w:szCs w:val="24"/>
              </w:rPr>
              <w:t xml:space="preserve">6.  Продолжительность периода  с Т &lt; 0 </w:t>
            </w: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с Т &gt; 0 </w:t>
            </w: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  Относительная влажность воздуха самого холодного месяца</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8.  Относительная влажность воздуха самого теплого месяца</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9.  Количество осадков за ноябрь-март</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 Количество осадков за апрель-октябрь</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11. Количество осадков за год</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12. Преобладающее направление ветра </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13. Средняя скорость ветра июля</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14. Продолжительность солнечного сияния: в январе</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в июле</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15. Климатический подрайон для строительства</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16. Нормативная глубина промерзания грунтов: открытых участков</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защищенных участков</w:t>
            </w:r>
          </w:p>
          <w:p w:rsidR="008B6C17" w:rsidRPr="007F425D" w:rsidRDefault="008B6C17" w:rsidP="007F425D">
            <w:pPr>
              <w:widowControl w:val="0"/>
              <w:spacing w:line="240" w:lineRule="auto"/>
              <w:jc w:val="both"/>
              <w:rPr>
                <w:rFonts w:ascii="Times New Roman" w:hAnsi="Times New Roman" w:cs="Times New Roman"/>
                <w:sz w:val="24"/>
                <w:szCs w:val="24"/>
              </w:rPr>
            </w:pPr>
          </w:p>
        </w:tc>
        <w:tc>
          <w:tcPr>
            <w:tcW w:w="399" w:type="pct"/>
            <w:tcMar>
              <w:left w:w="57" w:type="dxa"/>
              <w:right w:w="57" w:type="dxa"/>
            </w:tcMa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vertAlign w:val="superscript"/>
              </w:rPr>
              <w:t>о</w:t>
            </w:r>
            <w:r w:rsidRPr="007F425D">
              <w:rPr>
                <w:rFonts w:ascii="Times New Roman" w:hAnsi="Times New Roman" w:cs="Times New Roman"/>
                <w:sz w:val="24"/>
                <w:szCs w:val="24"/>
              </w:rPr>
              <w:t>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дн.</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дн.</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мм</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мм</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мм</w:t>
            </w:r>
          </w:p>
          <w:p w:rsidR="008B6C17" w:rsidRPr="007F425D" w:rsidRDefault="008B6C17" w:rsidP="007F425D">
            <w:pPr>
              <w:widowControl w:val="0"/>
              <w:spacing w:line="240" w:lineRule="auto"/>
              <w:jc w:val="both"/>
              <w:rPr>
                <w:rFonts w:ascii="Times New Roman" w:hAnsi="Times New Roman" w:cs="Times New Roman"/>
                <w:sz w:val="24"/>
                <w:szCs w:val="24"/>
              </w:rPr>
            </w:pP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час.</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час.</w:t>
            </w:r>
          </w:p>
          <w:p w:rsidR="008B6C17" w:rsidRPr="007F425D" w:rsidRDefault="008B6C17" w:rsidP="007F425D">
            <w:pPr>
              <w:widowControl w:val="0"/>
              <w:spacing w:line="240" w:lineRule="auto"/>
              <w:jc w:val="both"/>
              <w:rPr>
                <w:rFonts w:ascii="Times New Roman" w:hAnsi="Times New Roman" w:cs="Times New Roman"/>
                <w:sz w:val="24"/>
                <w:szCs w:val="24"/>
              </w:rPr>
            </w:pP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м</w:t>
            </w:r>
          </w:p>
        </w:tc>
        <w:tc>
          <w:tcPr>
            <w:tcW w:w="653" w:type="pct"/>
            <w:tcMar>
              <w:left w:w="57" w:type="dxa"/>
              <w:right w:w="57" w:type="dxa"/>
            </w:tcMar>
          </w:tcPr>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-17,6</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-49,0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17,3</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35,0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22,6</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180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185</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80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72</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129</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350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479</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З</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2,8</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45</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270</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w:t>
            </w:r>
            <w:r w:rsidRPr="007F425D">
              <w:rPr>
                <w:rFonts w:ascii="Times New Roman" w:hAnsi="Times New Roman" w:cs="Times New Roman"/>
                <w:sz w:val="24"/>
                <w:szCs w:val="24"/>
              </w:rPr>
              <w:t xml:space="preserve"> В</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1,9</w:t>
            </w:r>
          </w:p>
          <w:p w:rsidR="008B6C17" w:rsidRPr="007F425D" w:rsidRDefault="008B6C17" w:rsidP="007F425D">
            <w:pPr>
              <w:widowControl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0,8</w:t>
            </w:r>
          </w:p>
        </w:tc>
      </w:tr>
    </w:tbl>
    <w:p w:rsidR="008B6C17" w:rsidRPr="007F425D" w:rsidRDefault="008B6C17" w:rsidP="007F425D">
      <w:pPr>
        <w:spacing w:line="240" w:lineRule="auto"/>
        <w:jc w:val="both"/>
        <w:rPr>
          <w:rFonts w:ascii="Times New Roman" w:hAnsi="Times New Roman" w:cs="Times New Roman"/>
          <w:sz w:val="24"/>
          <w:szCs w:val="24"/>
          <w:u w:val="single"/>
        </w:rPr>
      </w:pPr>
    </w:p>
    <w:p w:rsidR="008B6C17" w:rsidRPr="007F425D" w:rsidRDefault="008B6C17" w:rsidP="007F425D">
      <w:pPr>
        <w:spacing w:line="240" w:lineRule="auto"/>
        <w:jc w:val="center"/>
        <w:rPr>
          <w:rFonts w:ascii="Times New Roman" w:hAnsi="Times New Roman" w:cs="Times New Roman"/>
          <w:sz w:val="28"/>
          <w:szCs w:val="28"/>
          <w:u w:val="single"/>
        </w:rPr>
      </w:pPr>
      <w:r w:rsidRPr="007F425D">
        <w:rPr>
          <w:rFonts w:ascii="Times New Roman" w:hAnsi="Times New Roman" w:cs="Times New Roman"/>
          <w:sz w:val="28"/>
          <w:szCs w:val="28"/>
        </w:rPr>
        <w:t>ЭКОНОМИЧЕСКОЕ И ПРОМЫШЛЕННОЕ РАЗВИТИЕ</w:t>
      </w: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ПРОМЫШЛЕННЫЙ КОМПЛЕКС</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Основополагающая роль в развитии экономики Волчанского городского округа принадлежит промышленному комплексу, который способствует динамичной работе других отраслей народнохозяйственного комплекса города. Доля промышленного производства в общем объеме производственной деятельности муниципального образования составляет более 90 %.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Промышленность города носит монопрофильный характер. Ведущую роль в экономике городского округа играют два предприятия  - ОАО «Волчанский уголь» и «Волчанский механический завод» (производство вагонов малых серий, комплектующих к вагонам, грузоподъемной тары, газовых баллонов), филиал ОАО «НПК «Уралвагонзавод».  Каждое предприятие обеспечивает  занятость 15,3 и 30,5 % соответственно общего числа занятых в экономике города. Градообразующие предприятия за 9 месяцев  2014 года обеспечили 97,8 % объема отгруженных товаров. За последние четыре года градообразующие предприятия обеспечивали более 40 % налоговых поступлений от общей суммы собственных доходов.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Волчанский механический завод основан в 1969 году. Входит в состав ОАО «НПК»Уралвагонзавод». С момента основания был ориентирован на выпуск комплектующих изделий оборонного назначения, выпускаемых Уралвагонзаводом. Завод – многопрофильное предприятие. Состоит из газобаллонного, механосборочного, мебельного и вагоносборочного производств. Более 79 % всей стоимости  продукции промышленного  производства  создается  в  машиностроительной  отрасли, представленной Волчанским механическим заводом, который и определяет положительную динамику в экономике Волчанского городского округа. В ведении Волчанского механического завода находятся: гостиничный комплекс города, оздоровительный комплекс «Водолей», Дворец Культуры имени 40 лет Октября.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Добывающая промышленность в городе представлена Волчанским разрезом – филиал ОАО «Волчанский уголь» - добыча угля открытым способом. Первый ковш угля был добыт в 1943 году. На протяжении последних семи лет – до 2012 года, предприятие стабильно увеличивало годовые объемы производства: годовой индекс промышленного производства в 2011 – 2012 гг. составлял 108,3 %; объем промышленного производства в 2012 году превысил 1145,5 млн. руб. Сейчас Волчанский разрез переживает не лучшие времена, сумма, полученная за отгрузку угля за 9 месяцев 2014 года, составила 477,7 млн. рублей, что почти в два раза меньше уровня 2012 года. На последующий период рассматривается плановое закрытие Волчанского разреза ввиду истощения угольных запасов.</w:t>
      </w:r>
    </w:p>
    <w:p w:rsidR="008B6C17" w:rsidRPr="007F425D" w:rsidRDefault="008B6C17" w:rsidP="007F425D">
      <w:pPr>
        <w:pStyle w:val="ListParagraph"/>
        <w:spacing w:after="0" w:line="240" w:lineRule="auto"/>
        <w:ind w:left="3556"/>
        <w:jc w:val="both"/>
        <w:rPr>
          <w:rFonts w:ascii="Times New Roman" w:hAnsi="Times New Roman" w:cs="Times New Roman"/>
          <w:b/>
          <w:bCs/>
          <w:i/>
          <w:iCs/>
          <w:color w:val="000000"/>
          <w:sz w:val="28"/>
          <w:szCs w:val="28"/>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ПЕРСПЕКТИВЫ РАЗВИТИЯ ПРОМЫШЛЕННОГО КОМПЛЕКСА</w:t>
      </w: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7F425D">
        <w:rPr>
          <w:rFonts w:ascii="Times New Roman" w:hAnsi="Times New Roman" w:cs="Times New Roman"/>
          <w:sz w:val="28"/>
          <w:szCs w:val="28"/>
        </w:rPr>
        <w:t>Перспективы развития Волчанского городского округа связаны, в первую очередь, с наличием на его территории большого количества природных ископаемых, лесного массива, развитием Волчанского механического завода.</w:t>
      </w:r>
    </w:p>
    <w:p w:rsidR="008B6C17" w:rsidRPr="007F425D" w:rsidRDefault="008B6C17" w:rsidP="007F425D">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7F425D">
        <w:rPr>
          <w:rFonts w:ascii="Times New Roman" w:hAnsi="Times New Roman" w:cs="Times New Roman"/>
          <w:sz w:val="28"/>
          <w:szCs w:val="28"/>
        </w:rPr>
        <w:t>Территория имеет хорошие перспективы на разведку и введение в строй новых минерально- сырьевых ресурсов. Инженерно – геологические условия характеризуются развитием коренных пород, представленных преимущественно известняками хорошего качества, палеозойскими песчаниками и глинистыми сланцами, встречаются аргиллиты и алевролиты. Известняк карстовый карбонатный, труднорастворимый. Карст покрытый, приурочен к зоне аэрации. Территориальное распределение производственных объектов лесопромышленного комплекса в значительной степени обусловлено  доступностью сырьевых ресурсов. На территории городского округа преобладают сосна с елью и лиственницей, а также березовые и сосново- березовые сообщества.</w:t>
      </w:r>
    </w:p>
    <w:p w:rsidR="008B6C17" w:rsidRPr="007F425D" w:rsidRDefault="008B6C17" w:rsidP="007F425D">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7F425D">
        <w:rPr>
          <w:rFonts w:ascii="Times New Roman" w:hAnsi="Times New Roman" w:cs="Times New Roman"/>
          <w:sz w:val="28"/>
          <w:szCs w:val="28"/>
        </w:rPr>
        <w:t>Реализация ряда крупных инвестиционных проектов на Волчанском механическом заводе позволит активизировать инновационно - инвестиционную деятельность.</w:t>
      </w:r>
    </w:p>
    <w:p w:rsidR="008B6C17" w:rsidRPr="007F425D" w:rsidRDefault="008B6C17" w:rsidP="007F425D">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7F425D">
        <w:rPr>
          <w:rFonts w:ascii="Times New Roman" w:hAnsi="Times New Roman" w:cs="Times New Roman"/>
          <w:sz w:val="28"/>
          <w:szCs w:val="28"/>
        </w:rPr>
        <w:t>Перспективы развития транспортно- логистического комплекса Волчанского городского округа связаны с вводом в эксплуатацию участка автомобильной дороги Ивдель - граница Ханты-Мансийского автономного округа. На данном направлении перспективно существенное увеличение потока транзитного грузового автотранспорта, что может являться благоприятной предпосылкой к созданию новых производств.</w:t>
      </w:r>
    </w:p>
    <w:p w:rsidR="008B6C17" w:rsidRPr="007F425D" w:rsidRDefault="008B6C17" w:rsidP="007F425D">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7F425D">
        <w:rPr>
          <w:rFonts w:ascii="Times New Roman" w:hAnsi="Times New Roman" w:cs="Times New Roman"/>
          <w:sz w:val="28"/>
          <w:szCs w:val="28"/>
        </w:rPr>
        <w:t>Имеющийся кадровый потенциал в определенной степени удовлетворяет потребностям хозяйственного комплекса города, но требуют дальнейшего развития в части подготовки кадров для усиления диверсификации экономики округа.</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pStyle w:val="ListParagraph"/>
        <w:spacing w:after="0" w:line="240" w:lineRule="auto"/>
        <w:ind w:left="0"/>
        <w:jc w:val="center"/>
        <w:rPr>
          <w:rFonts w:ascii="Times New Roman" w:hAnsi="Times New Roman" w:cs="Times New Roman"/>
          <w:color w:val="000000"/>
          <w:sz w:val="28"/>
          <w:szCs w:val="28"/>
        </w:rPr>
      </w:pPr>
      <w:r w:rsidRPr="007F425D">
        <w:rPr>
          <w:rFonts w:ascii="Times New Roman" w:hAnsi="Times New Roman" w:cs="Times New Roman"/>
          <w:color w:val="000000"/>
          <w:sz w:val="28"/>
          <w:szCs w:val="28"/>
        </w:rPr>
        <w:t>ИНВЕСТИЦИОННАЯ ДЕЯТЕЛЬНОСТЬ</w:t>
      </w:r>
    </w:p>
    <w:p w:rsidR="008B6C17" w:rsidRPr="007F425D" w:rsidRDefault="008B6C17" w:rsidP="007F425D">
      <w:pPr>
        <w:pStyle w:val="ListParagraph"/>
        <w:spacing w:after="0" w:line="240" w:lineRule="auto"/>
        <w:ind w:left="3556"/>
        <w:jc w:val="both"/>
        <w:rPr>
          <w:rFonts w:ascii="Times New Roman" w:hAnsi="Times New Roman" w:cs="Times New Roman"/>
          <w:b/>
          <w:bCs/>
          <w:color w:val="000000"/>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приняты муниципальные программы, направленные на развитие территории, разработана Программа социально – экономического развития Волчанского городского округа на период до 2018 года. В 2013 году подготовлен  актуализированный вариант Комплексного  инвестиционного плана развития Волчанского городского округа на период до 2020 года, разработана Инвестиционная стратегия Волчанского городского округа на период до 2020 года, которые размещены на официальном сайте администрации Волчанского городского округа в сети Интернет. Ежегодно корректируется инвестиционный паспорт территории и размещается на официальном сайте в целях обеспечения возможности инвесторов по оперативному получению информации о свободных земельных участках. Разработаны регламенты оказания муниципальных услуг, оценка регулирующего воздействия которых проводится через уведомление на официальном сайте администрации о подготовке проекта акта в целях направления предложений от государственных органов, органов местного самоуправления, организаций и граждан.</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Важнейшей задачей органов местного самоуправления  Волчанского городского округа должно стать сокращение сроков прохождения инвестором процедур при получении разрешительной документации и оформлении земельных участков, повышение качества предоставления муниципальных услуг предпринимателям. Повышение доступности инженерной инфраструктуры будет способствовать привлечению потенциальных инвесторов на территорию Волчанского городского округа. Развитые, надежные сети электро-, тепло-, водо-, газоснабжения и короткие сроки подключения к ним обеспечат рентабельность инвестиционных проектов, сократят период строительства. Администрация Волчанского городского округа постоянно работает над созданием подготовленной промышленной инфраструктуры для инвестиций – подготовка инвестиционных площадок для реализации инвестиционных проектов. Риски инвесторов, связанные с необходимостью значительных объемов инвестиций на этапе организации новых производств, минимизируются посредством принятия областью на себя части затрат по инфраструктурному обустройству создаваемых промышленных площадок.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Развитие механизмов государственно-частного партнерства на территории Свердловской области происходит в рамках реализации Закона Свердловской области от 23.05.2011 года № 28-ОЗ «Об участии Свердловской области в государственно-частном партнерстве». С целью совершенствования системы поддержки инвестиционных проектов, реализация которых предполагается на принципах государственно – частного партнерства, заключено Соглашение о взаимодействии Министерства экономики Свердловской области и администрации Волчанского городского округа при реализации на территории Волчанского городского округа инвестиционных проектов, имеющих приоритетное значение для социально – экономического развития Свердловской области от 12.05.2011 года.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Территория обладает значительными запасами строительного камня, бурого угля, золота, кирпичных глин. Известняка, торфа. Природные условия округа подходят для выращивания сельскохозяйственных культур, а также для развития животноводства.</w:t>
      </w:r>
    </w:p>
    <w:p w:rsidR="008B6C17" w:rsidRPr="007F425D" w:rsidRDefault="008B6C17" w:rsidP="007F425D">
      <w:pPr>
        <w:spacing w:after="0" w:line="240" w:lineRule="auto"/>
        <w:ind w:firstLine="709"/>
        <w:jc w:val="both"/>
        <w:rPr>
          <w:rFonts w:ascii="Times New Roman" w:hAnsi="Times New Roman" w:cs="Times New Roman"/>
          <w:sz w:val="28"/>
          <w:szCs w:val="28"/>
          <w:lang w:eastAsia="ru-RU"/>
        </w:rPr>
      </w:pPr>
      <w:r w:rsidRPr="007F425D">
        <w:rPr>
          <w:rFonts w:ascii="Times New Roman" w:hAnsi="Times New Roman" w:cs="Times New Roman"/>
          <w:sz w:val="28"/>
          <w:szCs w:val="28"/>
        </w:rPr>
        <w:t xml:space="preserve">Объем инвестиций за 2013 год составил 142,382 млн. рублей. Инвестиции вложены в рамках реализации следующих инвестиционных проектов: Строительство и капитальный ремонт жилищного фонда ВГО; Программа закрытия «Волчанского разреза» ОАО «Волчанский уголь»; Развитие объектов коммунальной инфраструктуры; Строительство Дома культуры;  Реконструкция здания МБОУ ДОД ДЮСШ; Благоустройство дворовых территорий. В промышленном комплексе – инвестиции Волчанского угля на доработку производств, в сельском хозяйстве – увеличение основного стада, приобретение оборудования; в торговле – введен в эксплуатацию объект – автозаправочная станция; в сфере ЖКХ – модернизация тепловых сетей; в сфере строительства – ввод индивидуального жилищного строительства, строительство многоквартирных жилых домов, строительство двух социальных объектов: городской бани и Клуба. В дальнейшем дополнительно планируется реализация крупных инвестиционных проектов Волчанского механического завода: </w:t>
      </w:r>
      <w:r w:rsidRPr="007F425D">
        <w:rPr>
          <w:rFonts w:ascii="Times New Roman" w:hAnsi="Times New Roman" w:cs="Times New Roman"/>
          <w:sz w:val="28"/>
          <w:szCs w:val="28"/>
          <w:lang w:eastAsia="ru-RU"/>
        </w:rPr>
        <w:t xml:space="preserve">Создание производства подвижного состава малых серий. Реализация данного проекта направлена на выпуск опытных образцов подвижного состава: вагон-хоппер 19-5153-01, 19-5153-02, весоповерочный вагон. Позволит модернизировать не менее 40 рабочих мест и создать не менее 21 рабочего места; Создание производства по выпуску композитных баллонов. Проект направлен на выпуск нового вида продукции, строительство модуля под производство, позволит модернизировать не менее 32 рабочих места; </w:t>
      </w:r>
      <w:r w:rsidRPr="007F425D">
        <w:rPr>
          <w:rFonts w:ascii="Times New Roman" w:hAnsi="Times New Roman" w:cs="Times New Roman"/>
          <w:i/>
          <w:iCs/>
          <w:sz w:val="28"/>
          <w:szCs w:val="28"/>
          <w:lang w:eastAsia="ru-RU"/>
        </w:rPr>
        <w:t>Создание</w:t>
      </w:r>
      <w:r w:rsidRPr="007F425D">
        <w:rPr>
          <w:rFonts w:ascii="Times New Roman" w:hAnsi="Times New Roman" w:cs="Times New Roman"/>
          <w:sz w:val="28"/>
          <w:szCs w:val="28"/>
          <w:lang w:eastAsia="ru-RU"/>
        </w:rPr>
        <w:t xml:space="preserve"> производства автомобильных баллонов. Проект откроет производство газовых баллонов высокого давления для сжатого газа «метана» из композитных материалов и позволит создать не менее 13 новых высокотехнологичных рабочих мест.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Объем инвестиций в основной капитал за 9 месяцев 2014 года составил 71,062 млн. рублей (выше уровня 2013 года в 3,3 раза), в т.ч.:</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 собственные – 9,907 млн. рублей;</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 привлеченные –  61,155 млн. рублей.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Доля привлеченных средств в общем объеме инвестиций увеличилась по сравнению с уровнем прошлого года в 3,9 раза и составила 86,1 процентов.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Наибольший объем инвестиций направлен на строительство Клуба на 150 мест и на завершение строительства 18-ти квартирного жилого дома по улице Парковая, 14.</w:t>
      </w:r>
    </w:p>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ab/>
      </w:r>
    </w:p>
    <w:p w:rsidR="008B6C17" w:rsidRPr="007F425D" w:rsidRDefault="008B6C17" w:rsidP="007F425D">
      <w:pPr>
        <w:pStyle w:val="ListParagraph"/>
        <w:spacing w:after="0" w:line="240" w:lineRule="auto"/>
        <w:ind w:left="3196" w:firstLine="344"/>
        <w:jc w:val="both"/>
        <w:rPr>
          <w:rFonts w:ascii="Times New Roman" w:hAnsi="Times New Roman" w:cs="Times New Roman"/>
          <w:b/>
          <w:bCs/>
          <w:i/>
          <w:iCs/>
          <w:sz w:val="28"/>
          <w:szCs w:val="28"/>
        </w:rPr>
      </w:pPr>
    </w:p>
    <w:p w:rsidR="008B6C17" w:rsidRPr="007F425D" w:rsidRDefault="008B6C17" w:rsidP="007F425D">
      <w:pPr>
        <w:pStyle w:val="ListParagraph"/>
        <w:spacing w:after="0" w:line="240" w:lineRule="auto"/>
        <w:ind w:left="0"/>
        <w:jc w:val="center"/>
        <w:rPr>
          <w:rFonts w:ascii="Times New Roman" w:hAnsi="Times New Roman" w:cs="Times New Roman"/>
          <w:sz w:val="28"/>
          <w:szCs w:val="28"/>
        </w:rPr>
      </w:pPr>
      <w:r w:rsidRPr="007F425D">
        <w:rPr>
          <w:rFonts w:ascii="Times New Roman" w:hAnsi="Times New Roman" w:cs="Times New Roman"/>
          <w:sz w:val="28"/>
          <w:szCs w:val="28"/>
        </w:rPr>
        <w:t>ГОРОДСКОЙ ТРАНСПОРТ</w:t>
      </w:r>
    </w:p>
    <w:p w:rsidR="008B6C17" w:rsidRPr="007F425D" w:rsidRDefault="008B6C17" w:rsidP="007F425D">
      <w:pPr>
        <w:pStyle w:val="ListParagraph"/>
        <w:spacing w:after="0" w:line="240" w:lineRule="auto"/>
        <w:ind w:left="0"/>
        <w:jc w:val="both"/>
        <w:rPr>
          <w:rFonts w:ascii="Times New Roman" w:hAnsi="Times New Roman" w:cs="Times New Roman"/>
          <w:sz w:val="28"/>
          <w:szCs w:val="28"/>
        </w:rPr>
      </w:pPr>
    </w:p>
    <w:p w:rsidR="008B6C17" w:rsidRPr="007F425D" w:rsidRDefault="008B6C17" w:rsidP="007F425D">
      <w:pPr>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Волчанский  городской округ обслуживается двумя видами транспорта: железнодорожным и автомобильным.</w:t>
      </w:r>
    </w:p>
    <w:p w:rsidR="008B6C17" w:rsidRPr="007F425D" w:rsidRDefault="008B6C17" w:rsidP="007F425D">
      <w:pPr>
        <w:spacing w:after="0" w:line="240" w:lineRule="auto"/>
        <w:ind w:firstLine="709"/>
        <w:jc w:val="both"/>
        <w:rPr>
          <w:rFonts w:ascii="Times New Roman" w:hAnsi="Times New Roman" w:cs="Times New Roman"/>
          <w:i/>
          <w:iCs/>
          <w:sz w:val="28"/>
          <w:szCs w:val="28"/>
        </w:rPr>
      </w:pPr>
      <w:r w:rsidRPr="007F425D">
        <w:rPr>
          <w:rFonts w:ascii="Times New Roman" w:hAnsi="Times New Roman" w:cs="Times New Roman"/>
          <w:i/>
          <w:iCs/>
          <w:sz w:val="28"/>
          <w:szCs w:val="28"/>
        </w:rPr>
        <w:t>Железнодорожный транспорт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Железнодорожный транспорт в городском округе  представлен  участком железнодорожной линии  Серов – Ивдель – Приобье,  однопутным,  электрифицированным, со значительным резервом провозной способности. Протяженность железнодорожной сети общего пользования  составит  15,13   км, плотность железнодорожной сети  составит  32,0 км/1000 км2 и  1,43 км/1000 жителей (средняя плотность железнодорожной сети по Свердловской области составляет 18,2 км/1000 км2 и 0,80 км/1000 жителей соответственно).</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пределах Волчанского городского округа расположена грузовая  железнодорожных станции 3 класса Лесная Волчанка, назначение которой -  пропуск грузовых, пассажирских и пригородных поездов  и обслуживание промышленных и коммунальных предприятий г.Волчанска. На станции имеется  9  приемо-отправочных путей, в том числе -1 главный.</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Характеристика участков, примыкающих к узлу</w:t>
      </w:r>
    </w:p>
    <w:p w:rsidR="008B6C17" w:rsidRPr="007F425D" w:rsidRDefault="008B6C17" w:rsidP="007F425D">
      <w:pPr>
        <w:spacing w:after="0" w:line="240" w:lineRule="auto"/>
        <w:jc w:val="right"/>
        <w:rPr>
          <w:rFonts w:ascii="Times New Roman" w:hAnsi="Times New Roman" w:cs="Times New Roman"/>
          <w:sz w:val="28"/>
          <w:szCs w:val="28"/>
        </w:rPr>
      </w:pPr>
      <w:r w:rsidRPr="007F425D">
        <w:rPr>
          <w:rFonts w:ascii="Times New Roman" w:hAnsi="Times New Roman" w:cs="Times New Roman"/>
          <w:sz w:val="28"/>
          <w:szCs w:val="28"/>
        </w:rPr>
        <w:t>Таблица 3</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2812"/>
        <w:gridCol w:w="1500"/>
        <w:gridCol w:w="1874"/>
        <w:gridCol w:w="1793"/>
      </w:tblGrid>
      <w:tr w:rsidR="008B6C17" w:rsidRPr="007F425D">
        <w:trPr>
          <w:trHeight w:val="20"/>
        </w:trPr>
        <w:tc>
          <w:tcPr>
            <w:tcW w:w="951" w:type="pct"/>
            <w:vMerge w:val="restar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Кол-во путей</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 перегонах</w:t>
            </w:r>
          </w:p>
        </w:tc>
        <w:tc>
          <w:tcPr>
            <w:tcW w:w="1427" w:type="pct"/>
            <w:vMerge w:val="restar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Средствае</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связи</w:t>
            </w:r>
          </w:p>
        </w:tc>
        <w:tc>
          <w:tcPr>
            <w:tcW w:w="2622" w:type="pct"/>
            <w:gridSpan w:val="3"/>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Размеры движения -  пар поездов  в сутки</w:t>
            </w:r>
          </w:p>
        </w:tc>
      </w:tr>
      <w:tr w:rsidR="008B6C17" w:rsidRPr="007F425D">
        <w:trPr>
          <w:trHeight w:val="20"/>
        </w:trPr>
        <w:tc>
          <w:tcPr>
            <w:tcW w:w="951" w:type="pct"/>
            <w:vMerge/>
          </w:tcPr>
          <w:p w:rsidR="008B6C17" w:rsidRPr="007F425D" w:rsidRDefault="008B6C17" w:rsidP="007F425D">
            <w:pPr>
              <w:spacing w:after="0" w:line="240" w:lineRule="auto"/>
              <w:jc w:val="both"/>
              <w:rPr>
                <w:rFonts w:ascii="Times New Roman" w:hAnsi="Times New Roman" w:cs="Times New Roman"/>
                <w:sz w:val="24"/>
                <w:szCs w:val="24"/>
              </w:rPr>
            </w:pPr>
          </w:p>
        </w:tc>
        <w:tc>
          <w:tcPr>
            <w:tcW w:w="1427" w:type="pct"/>
            <w:vMerge/>
          </w:tcPr>
          <w:p w:rsidR="008B6C17" w:rsidRPr="007F425D" w:rsidRDefault="008B6C17" w:rsidP="007F425D">
            <w:pPr>
              <w:spacing w:after="0" w:line="240" w:lineRule="auto"/>
              <w:jc w:val="both"/>
              <w:rPr>
                <w:rFonts w:ascii="Times New Roman" w:hAnsi="Times New Roman" w:cs="Times New Roman"/>
                <w:sz w:val="24"/>
                <w:szCs w:val="24"/>
              </w:rPr>
            </w:pPr>
          </w:p>
        </w:tc>
        <w:tc>
          <w:tcPr>
            <w:tcW w:w="761"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грузовых</w:t>
            </w:r>
          </w:p>
        </w:tc>
        <w:tc>
          <w:tcPr>
            <w:tcW w:w="951"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пассажирских.</w:t>
            </w:r>
          </w:p>
        </w:tc>
        <w:tc>
          <w:tcPr>
            <w:tcW w:w="910"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пригородных</w:t>
            </w:r>
          </w:p>
        </w:tc>
      </w:tr>
      <w:tr w:rsidR="008B6C17" w:rsidRPr="007F425D">
        <w:trPr>
          <w:trHeight w:val="20"/>
        </w:trPr>
        <w:tc>
          <w:tcPr>
            <w:tcW w:w="951"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427"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полуавтоблокировка</w:t>
            </w:r>
          </w:p>
        </w:tc>
        <w:tc>
          <w:tcPr>
            <w:tcW w:w="761"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w:t>
            </w:r>
          </w:p>
        </w:tc>
        <w:tc>
          <w:tcPr>
            <w:tcW w:w="951"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910" w:type="pct"/>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r>
    </w:tbl>
    <w:p w:rsidR="008B6C17" w:rsidRPr="007F425D" w:rsidRDefault="008B6C17" w:rsidP="007F425D">
      <w:pPr>
        <w:spacing w:after="0" w:line="240" w:lineRule="auto"/>
        <w:ind w:firstLine="720"/>
        <w:jc w:val="both"/>
        <w:rPr>
          <w:rFonts w:ascii="Times New Roman" w:hAnsi="Times New Roman" w:cs="Times New Roman"/>
          <w:sz w:val="24"/>
          <w:szCs w:val="24"/>
        </w:rPr>
      </w:pPr>
    </w:p>
    <w:p w:rsidR="008B6C17" w:rsidRPr="007F425D" w:rsidRDefault="008B6C17" w:rsidP="007F425D">
      <w:pPr>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К станции Лесная Волчанка  примыкают подъездные железнодорожные пути </w:t>
      </w:r>
    </w:p>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ОАО «Волчанский уголь» со среднесуточным числомфизических вагонов – 48 ед.  и Волчанского завода ТНП со среднесуточным числом физических вагонов – 2 ед.</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въезде в п.Вьюжный расположен железнодорожный переезд, неохраняемый с автоматической светофорной сигнализацией, без шлагбаума.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территории г.Волчанска расположено 4 железнодорожный переезда, 3 из которых – охраняемые.</w:t>
      </w:r>
    </w:p>
    <w:p w:rsidR="008B6C17" w:rsidRPr="007F425D" w:rsidRDefault="008B6C17" w:rsidP="007F425D">
      <w:pPr>
        <w:spacing w:after="0" w:line="240" w:lineRule="auto"/>
        <w:ind w:firstLine="709"/>
        <w:jc w:val="both"/>
        <w:rPr>
          <w:rFonts w:ascii="Times New Roman" w:hAnsi="Times New Roman" w:cs="Times New Roman"/>
          <w:i/>
          <w:iCs/>
          <w:sz w:val="28"/>
          <w:szCs w:val="28"/>
        </w:rPr>
      </w:pPr>
      <w:r w:rsidRPr="007F425D">
        <w:rPr>
          <w:rFonts w:ascii="Times New Roman" w:hAnsi="Times New Roman" w:cs="Times New Roman"/>
          <w:i/>
          <w:iCs/>
          <w:sz w:val="28"/>
          <w:szCs w:val="28"/>
        </w:rPr>
        <w:t>Автомобильные дороги</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Основу автодорожной сети Волчанского  городского округа составляют автодороги общего пользования регионального значения:</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Серов – Североуральск,   </w:t>
      </w:r>
      <w:r w:rsidRPr="007F425D">
        <w:rPr>
          <w:rFonts w:ascii="Times New Roman" w:hAnsi="Times New Roman" w:cs="Times New Roman"/>
          <w:sz w:val="28"/>
          <w:szCs w:val="28"/>
          <w:lang w:val="en-US"/>
        </w:rPr>
        <w:t>IV</w:t>
      </w:r>
      <w:r w:rsidRPr="007F425D">
        <w:rPr>
          <w:rFonts w:ascii="Times New Roman" w:hAnsi="Times New Roman" w:cs="Times New Roman"/>
          <w:sz w:val="28"/>
          <w:szCs w:val="28"/>
        </w:rPr>
        <w:t xml:space="preserve"> технической категории, с асфальтобетонным покрытием проезжей части, интенсивностью движения транспорта  в сутки в обоих направлениях  1461 единиц, протяженностью в пределах округа 27,6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Серов – Североуральск – Ивдель (обход г.Волчанск),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технической категории, с асфальтобетонным покрытием проезжей части,  интенсивностью движения транспорта  в сутки в обоих направлениях  161 ед., протяженностью в пределах округа 16,145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Северный подъезд к г.Волчанск от км 9+812  а/д «Серов – г.Североуральск – г.Ивдель (обход г.Волчанск)»,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технической категории, с асфальтобетонным покрытием проезжей части,  интенсивностью движения транспорта  в сутки в обоих направлениях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66 ед., протяженностью в пределах округа 1,50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Южный подъезд к г.Волчанск от км 3+667  а/д «Серов – г.Североуральск – г.Ивдель (обход г.Волчанск)»,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технической категории, с асфальтобетонным покрытием проезжей части,  интенсивностью движения транспорта  в сутки в обоих направлениях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56 ед., протяженностью в пределах округа 1,08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Подъезд к п.Вьюжный  от км 75+100 а/д «г.Серов -= г.Североуральск»,  </w:t>
      </w:r>
      <w:r w:rsidRPr="007F425D">
        <w:rPr>
          <w:rFonts w:ascii="Times New Roman" w:hAnsi="Times New Roman" w:cs="Times New Roman"/>
          <w:sz w:val="28"/>
          <w:szCs w:val="28"/>
          <w:lang w:val="en-US"/>
        </w:rPr>
        <w:t>IV</w:t>
      </w:r>
      <w:r w:rsidRPr="007F425D">
        <w:rPr>
          <w:rFonts w:ascii="Times New Roman" w:hAnsi="Times New Roman" w:cs="Times New Roman"/>
          <w:sz w:val="28"/>
          <w:szCs w:val="28"/>
        </w:rPr>
        <w:t xml:space="preserve"> технической категории, с гравийно-щебеночным  покрытием проезжей части, интенсивностью движения транспорта  в сутки в обоих направлениях  56 единиц, протяженностью в пределах округа 1,0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Общая протяженность автомобильных дорог общего пользования Волчанского  городского округа составляет    47,325   км, из них с твердым покрытием   47,325 км  (100%)</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Плотность автодорог общего пользования составляет  99,84 км/1000 км2    при средней плотности по Свердловской области  54,76 км/1000 км2.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Пассажирские перевозки в Волчанском городском округе выполняются  автобусом и трамваем в г. Волчанске. Автотранспортные предприятия в округе отсутствуют, перевозки выполняются пригородным маршрутом № 109 Карпинск – Волчанск, Карпинским автотранспортным предприятием, с интервалом движения 1 час, междугородними маршрутами № 650 К «Краснотурьинск-Североуральск» и № 818  «Екатеринбург – Североуральск».</w:t>
      </w:r>
    </w:p>
    <w:p w:rsidR="008B6C17" w:rsidRPr="007F425D" w:rsidRDefault="008B6C17" w:rsidP="007F425D">
      <w:pPr>
        <w:tabs>
          <w:tab w:val="left" w:pos="0"/>
          <w:tab w:val="left" w:pos="2160"/>
          <w:tab w:val="left" w:pos="990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Севернее д. Макарьевка  имеется ведомственная вертолетная площадка для обслуживания магистральных газопроводов.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За 9 месяцев 2014 года на текущий ремонт и содержание автомобильных дорог общего пользования местного значения израсходовано 1957,8 тыс. рублей, в т. ч.:</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проведена оплата ООО «Технодор» за разработку проекта капремонта автодороги по ул. Станционная – 463,1 тыс. рублей;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ремонт автомобильных дорог и искусственных сооружений, расположенных на них – 600,0 тыс. рублей;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содержание дорог в зимний период – 795,7 тыс. рублей;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нанесение дорожной разметки – 99,0 тыс. рублей.</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МАЛОЕ И СРЕДНЕЕ ПРЕДПРИНИМАТЕЛЬСТВО</w:t>
      </w: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Развитие предпринимательства является приоритетом в социально- экономическом развитии Волчанского городского округа. Реализовывались мероприятия, направленные на создание благоприятных условий для интенсивного развития малого предпринимательства: функционирует Волчанский Фонд поддержки малого предпринимательства, работает Совет по поддержке и развитию малого и среднего предпринимательства при главе Волчанского городского округа.</w:t>
      </w: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За 9 месяцев 2014 года зарегистрировано 302 субъекта  сфере малого предпринимательства (90,4 %), из них индивидуальных предпринимателей – 183 (82,4 %). На тысячу жителей Волчанского городского округа приходится 31 субъект малого предпринимательства. Численность занятых в сфере малого и среднего предпринимательства – 481 человек (72,3 %). Доля работников, занятых в малом и среднем бизнесе, в общей численности экономически активного населения Волчанского городского округа по состоянию на 1 октября 2014 года составляет 8,2 %.</w:t>
      </w: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На территории осуществляет деятельность одна мини-пекарня. В течение отчетного периода произведено хлеба и хлебобулочных изделий 119 тонны (72 %).</w:t>
      </w: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Показатели численности и заработной платы в малом предпринимательстве</w:t>
      </w:r>
    </w:p>
    <w:tbl>
      <w:tblPr>
        <w:tblW w:w="100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95"/>
        <w:gridCol w:w="851"/>
        <w:gridCol w:w="851"/>
        <w:gridCol w:w="851"/>
        <w:gridCol w:w="851"/>
        <w:gridCol w:w="851"/>
      </w:tblGrid>
      <w:tr w:rsidR="008B6C17" w:rsidRPr="007F425D">
        <w:tc>
          <w:tcPr>
            <w:tcW w:w="580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Показатели</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2010</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2011</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2012</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2013</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2014</w:t>
            </w:r>
          </w:p>
        </w:tc>
      </w:tr>
      <w:tr w:rsidR="008B6C17" w:rsidRPr="007F425D">
        <w:tc>
          <w:tcPr>
            <w:tcW w:w="580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Численность занятых на малых предприятиях, чел.</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608</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626</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656</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665</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481</w:t>
            </w:r>
          </w:p>
        </w:tc>
      </w:tr>
      <w:tr w:rsidR="008B6C17" w:rsidRPr="007F425D">
        <w:tc>
          <w:tcPr>
            <w:tcW w:w="580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Количество индивидуальных предпринимателей, чел. </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192</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194</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222</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184</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183</w:t>
            </w:r>
          </w:p>
        </w:tc>
      </w:tr>
      <w:tr w:rsidR="008B6C17" w:rsidRPr="007F425D">
        <w:tc>
          <w:tcPr>
            <w:tcW w:w="580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Средняя начисленная заработная плата одного работника, руб.</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9103</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9340</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10583</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10668</w:t>
            </w:r>
          </w:p>
        </w:tc>
        <w:tc>
          <w:tcPr>
            <w:tcW w:w="851"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10827</w:t>
            </w:r>
          </w:p>
        </w:tc>
      </w:tr>
    </w:tbl>
    <w:p w:rsidR="008B6C17" w:rsidRPr="007F425D" w:rsidRDefault="008B6C17" w:rsidP="007F425D">
      <w:pPr>
        <w:spacing w:after="0" w:line="240" w:lineRule="auto"/>
        <w:ind w:firstLine="708"/>
        <w:jc w:val="both"/>
        <w:rPr>
          <w:rFonts w:ascii="Times New Roman" w:hAnsi="Times New Roman" w:cs="Times New Roman"/>
          <w:sz w:val="24"/>
          <w:szCs w:val="24"/>
        </w:rPr>
      </w:pP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 xml:space="preserve">Во многом закрепление указанных положительных тенденций стало возможным за счет функционирования на муниципальном уровне отдела поддержки малого предпринимательства и поддержки Правительства Свердловской области в виде субсидирования по программе поддержки малого и среднего предпринимательства.  </w:t>
      </w: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Основными видами поддержки субъектов малого и среднего предпринимательства в Волчанском городском округе являются субсидии на:</w:t>
      </w:r>
    </w:p>
    <w:p w:rsidR="008B6C17" w:rsidRPr="007F425D" w:rsidRDefault="008B6C17" w:rsidP="007F425D">
      <w:pPr>
        <w:pStyle w:val="ListParagraph"/>
        <w:numPr>
          <w:ilvl w:val="0"/>
          <w:numId w:val="25"/>
        </w:numPr>
        <w:spacing w:after="0" w:line="240" w:lineRule="auto"/>
        <w:ind w:left="0" w:firstLine="708"/>
        <w:jc w:val="both"/>
        <w:rPr>
          <w:rFonts w:ascii="Times New Roman" w:hAnsi="Times New Roman" w:cs="Times New Roman"/>
          <w:sz w:val="28"/>
          <w:szCs w:val="28"/>
        </w:rPr>
      </w:pPr>
      <w:r w:rsidRPr="007F425D">
        <w:rPr>
          <w:rFonts w:ascii="Times New Roman" w:hAnsi="Times New Roman" w:cs="Times New Roman"/>
          <w:sz w:val="28"/>
          <w:szCs w:val="28"/>
        </w:rPr>
        <w:t>компенсацию части затрат на обучение, подготовку, переподготовку и повышение квалификации специалистов;</w:t>
      </w:r>
    </w:p>
    <w:p w:rsidR="008B6C17" w:rsidRPr="007F425D" w:rsidRDefault="008B6C17" w:rsidP="007F425D">
      <w:pPr>
        <w:pStyle w:val="ListParagraph"/>
        <w:numPr>
          <w:ilvl w:val="0"/>
          <w:numId w:val="25"/>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возмещение части затрат по оплате коммунальных платежей;</w:t>
      </w:r>
    </w:p>
    <w:p w:rsidR="008B6C17" w:rsidRPr="007F425D" w:rsidRDefault="008B6C17" w:rsidP="007F425D">
      <w:pPr>
        <w:pStyle w:val="ListParagraph"/>
        <w:numPr>
          <w:ilvl w:val="0"/>
          <w:numId w:val="25"/>
        </w:numPr>
        <w:spacing w:after="0" w:line="240" w:lineRule="auto"/>
        <w:ind w:left="0" w:firstLine="708"/>
        <w:jc w:val="both"/>
        <w:rPr>
          <w:rFonts w:ascii="Times New Roman" w:hAnsi="Times New Roman" w:cs="Times New Roman"/>
          <w:sz w:val="28"/>
          <w:szCs w:val="28"/>
        </w:rPr>
      </w:pPr>
      <w:r w:rsidRPr="007F425D">
        <w:rPr>
          <w:rFonts w:ascii="Times New Roman" w:hAnsi="Times New Roman" w:cs="Times New Roman"/>
          <w:sz w:val="28"/>
          <w:szCs w:val="28"/>
        </w:rPr>
        <w:t>возмещение части затрат по оплате за арендованные земельные участки, недвижимое имущество (помещения), используемое для ведения бизнеса;</w:t>
      </w:r>
    </w:p>
    <w:p w:rsidR="008B6C17" w:rsidRPr="007F425D" w:rsidRDefault="008B6C17" w:rsidP="007F425D">
      <w:pPr>
        <w:pStyle w:val="ListParagraph"/>
        <w:numPr>
          <w:ilvl w:val="0"/>
          <w:numId w:val="25"/>
        </w:num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компенсацию части затрат на приобретение основных средств;</w:t>
      </w:r>
    </w:p>
    <w:p w:rsidR="008B6C17" w:rsidRPr="007F425D" w:rsidRDefault="008B6C17" w:rsidP="007F425D">
      <w:pPr>
        <w:pStyle w:val="ListParagraph"/>
        <w:numPr>
          <w:ilvl w:val="0"/>
          <w:numId w:val="25"/>
        </w:numPr>
        <w:spacing w:after="0" w:line="240" w:lineRule="auto"/>
        <w:ind w:left="0" w:firstLine="708"/>
        <w:jc w:val="both"/>
        <w:rPr>
          <w:rFonts w:ascii="Times New Roman" w:hAnsi="Times New Roman" w:cs="Times New Roman"/>
          <w:sz w:val="28"/>
          <w:szCs w:val="28"/>
        </w:rPr>
      </w:pPr>
      <w:r w:rsidRPr="007F425D">
        <w:rPr>
          <w:rFonts w:ascii="Times New Roman" w:hAnsi="Times New Roman" w:cs="Times New Roman"/>
          <w:sz w:val="28"/>
          <w:szCs w:val="28"/>
        </w:rPr>
        <w:t>оказание консультационных услуг (за 9 месяцев 2014 года оказано 542  консультации – 59,1 %).</w:t>
      </w:r>
    </w:p>
    <w:p w:rsidR="008B6C17" w:rsidRPr="007F425D" w:rsidRDefault="008B6C17" w:rsidP="007F425D">
      <w:pPr>
        <w:pStyle w:val="ListParagraph"/>
        <w:spacing w:after="0" w:line="240" w:lineRule="auto"/>
        <w:ind w:left="0" w:firstLine="708"/>
        <w:jc w:val="both"/>
        <w:rPr>
          <w:rFonts w:ascii="Times New Roman" w:hAnsi="Times New Roman" w:cs="Times New Roman"/>
          <w:sz w:val="28"/>
          <w:szCs w:val="28"/>
        </w:rPr>
      </w:pPr>
      <w:r w:rsidRPr="007F425D">
        <w:rPr>
          <w:rFonts w:ascii="Times New Roman" w:hAnsi="Times New Roman" w:cs="Times New Roman"/>
          <w:sz w:val="28"/>
          <w:szCs w:val="28"/>
        </w:rPr>
        <w:t>Администрацией Волчанского городского округа также на постоянной основе  оказывается содействие предпринимателям, а также гражданам, желающим открыть собственное дело, в получении государственной поддержки.</w:t>
      </w:r>
    </w:p>
    <w:p w:rsidR="008B6C17" w:rsidRPr="007F425D" w:rsidRDefault="008B6C17" w:rsidP="007F425D">
      <w:pPr>
        <w:pStyle w:val="ListParagraph"/>
        <w:spacing w:after="0" w:line="240" w:lineRule="auto"/>
        <w:ind w:left="0" w:firstLine="708"/>
        <w:jc w:val="both"/>
        <w:rPr>
          <w:rFonts w:ascii="Times New Roman" w:hAnsi="Times New Roman" w:cs="Times New Roman"/>
          <w:sz w:val="28"/>
          <w:szCs w:val="28"/>
        </w:rPr>
      </w:pPr>
      <w:r w:rsidRPr="007F425D">
        <w:rPr>
          <w:rFonts w:ascii="Times New Roman" w:hAnsi="Times New Roman" w:cs="Times New Roman"/>
          <w:sz w:val="28"/>
          <w:szCs w:val="28"/>
        </w:rPr>
        <w:t>Фондом поддержки малого предпринимательства осуществляется микрокредитование. За 9 месяцев 2014 года выдано 10 займов на сумму 874,0 тыс. рублей. Средняя сумма составила 87,4 тысяч рублей, рост к аналогичному периоду прошлого года – 131,6 %.</w:t>
      </w: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Продолжается реализация подпрограммы «Развитие малого и среднего предпринимательства в Волчанском городском округе» муниципальной программы «Совершенствование социально-экономической политики на территории Волчанского городского округа до 2018 года». За 9 месяцев 2014 год освоено 48,9 тыс. рублей (освоение 48,9 %).</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r w:rsidRPr="007F425D">
        <w:rPr>
          <w:rFonts w:ascii="Times New Roman" w:hAnsi="Times New Roman" w:cs="Times New Roman"/>
          <w:sz w:val="28"/>
          <w:szCs w:val="28"/>
        </w:rPr>
        <w:t>Передано в аренду субъектам малого и среднего предпринимательства  23 объекта муниципального имущества общей площадью 1660,50 кв.м.</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ЖИЛИЩНЫЙ ФОНД</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pStyle w:val="ConsPlusNormal"/>
        <w:widowControl/>
        <w:tabs>
          <w:tab w:val="left" w:pos="1080"/>
        </w:tabs>
        <w:jc w:val="both"/>
        <w:rPr>
          <w:rFonts w:ascii="Times New Roman" w:hAnsi="Times New Roman" w:cs="Times New Roman"/>
          <w:sz w:val="28"/>
          <w:szCs w:val="28"/>
        </w:rPr>
      </w:pPr>
      <w:r w:rsidRPr="007F425D">
        <w:rPr>
          <w:rFonts w:ascii="Times New Roman" w:hAnsi="Times New Roman" w:cs="Times New Roman"/>
          <w:sz w:val="28"/>
          <w:szCs w:val="28"/>
        </w:rPr>
        <w:t>Жилищный фонд Волчанского городского округа на 2025 год должен составить 379,9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в том числе в городской местности – 368,5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сельской местности – 11,4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При этом обеспеченность населения жилищным фондом составит всего по округу – 35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по городской местности – 35,1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по сельской местности –  32,6 </w:t>
      </w:r>
      <w:r w:rsidRPr="007F425D">
        <w:rPr>
          <w:rFonts w:ascii="Times New Roman" w:hAnsi="Times New Roman" w:cs="Times New Roman"/>
          <w:sz w:val="28"/>
          <w:szCs w:val="28"/>
          <w:vertAlign w:val="superscript"/>
        </w:rPr>
        <w:t xml:space="preserve"> </w:t>
      </w:r>
      <w:r w:rsidRPr="007F425D">
        <w:rPr>
          <w:rFonts w:ascii="Times New Roman" w:hAnsi="Times New Roman" w:cs="Times New Roman"/>
          <w:sz w:val="28"/>
          <w:szCs w:val="28"/>
        </w:rPr>
        <w:t>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w:t>
      </w:r>
    </w:p>
    <w:p w:rsidR="008B6C17" w:rsidRPr="007F425D" w:rsidRDefault="008B6C17" w:rsidP="007F425D">
      <w:pPr>
        <w:pStyle w:val="ConsPlusNormal"/>
        <w:widowControl/>
        <w:tabs>
          <w:tab w:val="left" w:pos="1080"/>
        </w:tabs>
        <w:jc w:val="both"/>
        <w:rPr>
          <w:rFonts w:ascii="Times New Roman" w:hAnsi="Times New Roman" w:cs="Times New Roman"/>
          <w:sz w:val="28"/>
          <w:szCs w:val="28"/>
        </w:rPr>
      </w:pPr>
      <w:r w:rsidRPr="007F425D">
        <w:rPr>
          <w:rFonts w:ascii="Times New Roman" w:hAnsi="Times New Roman" w:cs="Times New Roman"/>
          <w:sz w:val="28"/>
          <w:szCs w:val="28"/>
        </w:rPr>
        <w:t>Жилищный фонд Волчанского городского округа на 2015 год должен составить 313,92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в том числе в городской местности – 306,4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сельской местности – 7,52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При этом обеспеченность населения жилищным фондом составит всего по округу – 30,5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по городской местности – 30,6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по сельской местности –  25,1 </w:t>
      </w:r>
      <w:r w:rsidRPr="007F425D">
        <w:rPr>
          <w:rFonts w:ascii="Times New Roman" w:hAnsi="Times New Roman" w:cs="Times New Roman"/>
          <w:sz w:val="28"/>
          <w:szCs w:val="28"/>
          <w:vertAlign w:val="superscript"/>
        </w:rPr>
        <w:t xml:space="preserve"> </w:t>
      </w:r>
      <w:r w:rsidRPr="007F425D">
        <w:rPr>
          <w:rFonts w:ascii="Times New Roman" w:hAnsi="Times New Roman" w:cs="Times New Roman"/>
          <w:sz w:val="28"/>
          <w:szCs w:val="28"/>
        </w:rPr>
        <w:t>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Убыль жилищного фонда определена с учётом  муниципальной программы по отселению граждан из ветхого и аварийного жилищного фонда и с учётом выноса жилищного фонда из санитарно-защитных зон промышленных и коммунальных предприятий. Убыль жилищного фонда на расчётный срок составит – 28,4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на первую очередь – 12,5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w:t>
      </w:r>
    </w:p>
    <w:p w:rsidR="008B6C17" w:rsidRPr="007F425D" w:rsidRDefault="008B6C17" w:rsidP="007F425D">
      <w:pPr>
        <w:pStyle w:val="ConsPlusNormal"/>
        <w:widowControl/>
        <w:tabs>
          <w:tab w:val="left" w:pos="1080"/>
        </w:tabs>
        <w:jc w:val="both"/>
        <w:rPr>
          <w:rFonts w:ascii="Times New Roman" w:hAnsi="Times New Roman" w:cs="Times New Roman"/>
          <w:b/>
          <w:bCs/>
          <w:sz w:val="28"/>
          <w:szCs w:val="28"/>
        </w:rPr>
      </w:pPr>
      <w:r w:rsidRPr="007F425D">
        <w:rPr>
          <w:rFonts w:ascii="Times New Roman" w:hAnsi="Times New Roman" w:cs="Times New Roman"/>
          <w:sz w:val="28"/>
          <w:szCs w:val="28"/>
        </w:rPr>
        <w:t>В сельской местности (п. Вьюжный) предлагается индивидуальное блокированное строительство. В городской местности, в г. Волчанске планируется индивидуальное, 2 – 5 этажное секционное строительство. Объём нового жилищного строительства всего по округу на период до 2025 года составит – 120,38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в том числе  в городской местности – 114,0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сельской местности – 6,38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Среднегодовой ввод  за период 2007 - 2025 г.г. составит – 6,3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2025 году ввод жилья на 1 человека в округе планируется довести до 0,84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Объём нового жилищного строительства всего по округу за период 2007 - 2015 г.г. составит – 38,5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том числе  в городской местности – 36,0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сельской местности – 2,5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Среднегодовой ввод  за период 2007 – 2015 г.г. составит – 4,3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2015 году ввод жилья на 1 человека в округе планируется довести до 0,42 м</w:t>
      </w:r>
      <w:r w:rsidRPr="007F425D">
        <w:rPr>
          <w:rFonts w:ascii="Times New Roman" w:hAnsi="Times New Roman" w:cs="Times New Roman"/>
          <w:sz w:val="28"/>
          <w:szCs w:val="28"/>
          <w:vertAlign w:val="superscript"/>
        </w:rPr>
        <w:t>2</w:t>
      </w:r>
      <w:r w:rsidRPr="007F425D">
        <w:rPr>
          <w:rFonts w:ascii="Times New Roman" w:hAnsi="Times New Roman" w:cs="Times New Roman"/>
          <w:b/>
          <w:bCs/>
          <w:sz w:val="28"/>
          <w:szCs w:val="28"/>
        </w:rPr>
        <w:t xml:space="preserve">. </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В </w:t>
      </w:r>
      <w:hyperlink w:anchor="Par9886" w:history="1">
        <w:r w:rsidRPr="007F425D">
          <w:rPr>
            <w:rFonts w:ascii="Times New Roman" w:hAnsi="Times New Roman" w:cs="Times New Roman"/>
            <w:sz w:val="28"/>
            <w:szCs w:val="28"/>
          </w:rPr>
          <w:t xml:space="preserve">таблице </w:t>
        </w:r>
      </w:hyperlink>
      <w:r w:rsidRPr="007F425D">
        <w:rPr>
          <w:rFonts w:ascii="Times New Roman" w:hAnsi="Times New Roman" w:cs="Times New Roman"/>
          <w:sz w:val="28"/>
          <w:szCs w:val="28"/>
        </w:rPr>
        <w:t>4 приводится характеристика жилищного фонда по материалу стен, времени постройки и процента износа.</w:t>
      </w:r>
    </w:p>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8"/>
          <w:szCs w:val="28"/>
        </w:rPr>
      </w:pPr>
    </w:p>
    <w:p w:rsidR="008B6C17" w:rsidRPr="007F425D" w:rsidRDefault="008B6C17" w:rsidP="007F425D">
      <w:pPr>
        <w:pStyle w:val="ConsPlusNormal"/>
        <w:widowControl/>
        <w:tabs>
          <w:tab w:val="left" w:pos="1080"/>
        </w:tabs>
        <w:jc w:val="right"/>
        <w:rPr>
          <w:rFonts w:ascii="Times New Roman" w:hAnsi="Times New Roman" w:cs="Times New Roman"/>
          <w:sz w:val="28"/>
          <w:szCs w:val="28"/>
        </w:rPr>
      </w:pPr>
      <w:r w:rsidRPr="007F425D">
        <w:rPr>
          <w:rFonts w:ascii="Times New Roman" w:hAnsi="Times New Roman" w:cs="Times New Roman"/>
          <w:sz w:val="28"/>
          <w:szCs w:val="28"/>
        </w:rPr>
        <w:t>Таблица 4</w:t>
      </w:r>
    </w:p>
    <w:tbl>
      <w:tblPr>
        <w:tblW w:w="0" w:type="auto"/>
        <w:tblCellSpacing w:w="5" w:type="nil"/>
        <w:tblInd w:w="2" w:type="dxa"/>
        <w:tblLayout w:type="fixed"/>
        <w:tblCellMar>
          <w:left w:w="75" w:type="dxa"/>
          <w:right w:w="75" w:type="dxa"/>
        </w:tblCellMar>
        <w:tblLook w:val="0000"/>
      </w:tblPr>
      <w:tblGrid>
        <w:gridCol w:w="2760"/>
        <w:gridCol w:w="1984"/>
        <w:gridCol w:w="2324"/>
        <w:gridCol w:w="2438"/>
      </w:tblGrid>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Общая площадь жилых помещений, тыс. м кв.</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Число жилых домов</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(индивидуально-определенных зданий), единиц</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Число многоквартирных жилых домов, единиц</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По материалу стен:</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275,3</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1382</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421</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каменные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кирпичные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89,4</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231</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панельные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8,4</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блочные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74,2</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9</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32</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монолитные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смешанные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деревянные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100,6</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1313</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140</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прочие</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2,7</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48</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7</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По годам возведения:</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До 1920</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1921 - 1945</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0,5</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1946 - 1970</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211</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1315</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387</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1971-1995</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52</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34</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27</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После 1995</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11,8</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21</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7</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По проценту износа:</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от 0 до 30%</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38,3</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448</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от 31% до 65%</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190,6</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892</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310</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от 66% до 70%</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34,7</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42</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65</w:t>
            </w:r>
          </w:p>
        </w:tc>
      </w:tr>
      <w:tr w:rsidR="008B6C17" w:rsidRPr="007F425D">
        <w:trPr>
          <w:tblCellSpacing w:w="5" w:type="nil"/>
        </w:trPr>
        <w:tc>
          <w:tcPr>
            <w:tcW w:w="283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Свыше 70%</w:t>
            </w:r>
          </w:p>
        </w:tc>
        <w:tc>
          <w:tcPr>
            <w:tcW w:w="198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11,7</w:t>
            </w:r>
          </w:p>
        </w:tc>
        <w:tc>
          <w:tcPr>
            <w:tcW w:w="23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50</w:t>
            </w:r>
          </w:p>
        </w:tc>
        <w:tc>
          <w:tcPr>
            <w:tcW w:w="243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31</w:t>
            </w: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В </w:t>
      </w:r>
      <w:hyperlink w:anchor="Par9973" w:history="1">
        <w:r w:rsidRPr="007F425D">
          <w:rPr>
            <w:rFonts w:ascii="Times New Roman" w:hAnsi="Times New Roman" w:cs="Times New Roman"/>
            <w:sz w:val="28"/>
            <w:szCs w:val="28"/>
          </w:rPr>
          <w:t>таблице 5</w:t>
        </w:r>
      </w:hyperlink>
      <w:r w:rsidRPr="007F425D">
        <w:rPr>
          <w:rFonts w:ascii="Times New Roman" w:hAnsi="Times New Roman" w:cs="Times New Roman"/>
          <w:sz w:val="28"/>
          <w:szCs w:val="28"/>
        </w:rPr>
        <w:t xml:space="preserve"> приводится распределение жилых помещений по количеству комнат.</w:t>
      </w:r>
    </w:p>
    <w:p w:rsidR="008B6C17" w:rsidRPr="007F425D" w:rsidRDefault="008B6C17" w:rsidP="007F425D">
      <w:pPr>
        <w:pStyle w:val="ConsPlusNormal"/>
        <w:widowControl/>
        <w:tabs>
          <w:tab w:val="left" w:pos="1080"/>
        </w:tabs>
        <w:jc w:val="both"/>
        <w:rPr>
          <w:rFonts w:ascii="Times New Roman" w:hAnsi="Times New Roman" w:cs="Times New Roman"/>
          <w:b/>
          <w:bCs/>
          <w:sz w:val="28"/>
          <w:szCs w:val="28"/>
        </w:rPr>
      </w:pPr>
    </w:p>
    <w:p w:rsidR="008B6C17" w:rsidRPr="007F425D" w:rsidRDefault="008B6C17" w:rsidP="007F425D">
      <w:pPr>
        <w:widowControl w:val="0"/>
        <w:autoSpaceDE w:val="0"/>
        <w:autoSpaceDN w:val="0"/>
        <w:adjustRightInd w:val="0"/>
        <w:spacing w:after="0" w:line="240" w:lineRule="auto"/>
        <w:jc w:val="right"/>
        <w:outlineLvl w:val="4"/>
        <w:rPr>
          <w:rFonts w:ascii="Times New Roman" w:hAnsi="Times New Roman" w:cs="Times New Roman"/>
          <w:sz w:val="28"/>
          <w:szCs w:val="28"/>
        </w:rPr>
      </w:pPr>
      <w:r w:rsidRPr="007F425D">
        <w:rPr>
          <w:rFonts w:ascii="Times New Roman" w:hAnsi="Times New Roman" w:cs="Times New Roman"/>
          <w:sz w:val="28"/>
          <w:szCs w:val="28"/>
        </w:rPr>
        <w:t>Таблица 5</w:t>
      </w:r>
    </w:p>
    <w:tbl>
      <w:tblPr>
        <w:tblW w:w="0" w:type="auto"/>
        <w:tblCellSpacing w:w="5" w:type="nil"/>
        <w:tblInd w:w="2" w:type="dxa"/>
        <w:tblLayout w:type="fixed"/>
        <w:tblCellMar>
          <w:left w:w="75" w:type="dxa"/>
          <w:right w:w="75" w:type="dxa"/>
        </w:tblCellMar>
        <w:tblLook w:val="0000"/>
      </w:tblPr>
      <w:tblGrid>
        <w:gridCol w:w="2703"/>
        <w:gridCol w:w="1417"/>
        <w:gridCol w:w="1531"/>
        <w:gridCol w:w="1304"/>
        <w:gridCol w:w="1191"/>
        <w:gridCol w:w="1361"/>
      </w:tblGrid>
      <w:tr w:rsidR="008B6C17" w:rsidRPr="007F425D">
        <w:trPr>
          <w:tblCellSpacing w:w="5" w:type="nil"/>
        </w:trPr>
        <w:tc>
          <w:tcPr>
            <w:tcW w:w="2778"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Наименование показателей</w:t>
            </w:r>
          </w:p>
        </w:tc>
        <w:tc>
          <w:tcPr>
            <w:tcW w:w="141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Число квартир,</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жилых домов - всего</w:t>
            </w:r>
          </w:p>
        </w:tc>
        <w:tc>
          <w:tcPr>
            <w:tcW w:w="5387"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в том числе:</w:t>
            </w:r>
          </w:p>
        </w:tc>
      </w:tr>
      <w:tr w:rsidR="008B6C17" w:rsidRPr="007F425D">
        <w:trPr>
          <w:tblCellSpacing w:w="5" w:type="nil"/>
        </w:trPr>
        <w:tc>
          <w:tcPr>
            <w:tcW w:w="2778"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однокомнатных</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2-комнатных</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3-х</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комнатных</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4-х</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комнатных и более</w:t>
            </w:r>
          </w:p>
        </w:tc>
      </w:tr>
      <w:tr w:rsidR="008B6C17" w:rsidRPr="007F425D">
        <w:trPr>
          <w:tblCellSpacing w:w="5" w:type="nil"/>
        </w:trPr>
        <w:tc>
          <w:tcPr>
            <w:tcW w:w="277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Жилые квартиры в многоквартирных жилых домах, ед.</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4173</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542</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2068</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1451</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112</w:t>
            </w:r>
          </w:p>
        </w:tc>
      </w:tr>
      <w:tr w:rsidR="008B6C17" w:rsidRPr="007F425D">
        <w:trPr>
          <w:tblCellSpacing w:w="5" w:type="nil"/>
        </w:trPr>
        <w:tc>
          <w:tcPr>
            <w:tcW w:w="277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В том числе частные квартиры</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3123</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425</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1587</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1027</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84</w:t>
            </w:r>
          </w:p>
        </w:tc>
      </w:tr>
      <w:tr w:rsidR="008B6C17" w:rsidRPr="007F425D">
        <w:trPr>
          <w:tblCellSpacing w:w="5" w:type="nil"/>
        </w:trPr>
        <w:tc>
          <w:tcPr>
            <w:tcW w:w="277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Общая площадь жилых помещений в квартирах в многоквартирных жилых домах, тыс. м кв.</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231,2</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11,1</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96</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101,1</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w:t>
            </w:r>
          </w:p>
        </w:tc>
      </w:tr>
      <w:tr w:rsidR="008B6C17" w:rsidRPr="007F425D">
        <w:trPr>
          <w:tblCellSpacing w:w="5" w:type="nil"/>
        </w:trPr>
        <w:tc>
          <w:tcPr>
            <w:tcW w:w="277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Жилые дома (индивидуально-определенные здания), ед.</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1382</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157</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574</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568</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83</w:t>
            </w:r>
          </w:p>
        </w:tc>
      </w:tr>
      <w:tr w:rsidR="008B6C17" w:rsidRPr="007F425D">
        <w:trPr>
          <w:tblCellSpacing w:w="5" w:type="nil"/>
        </w:trPr>
        <w:tc>
          <w:tcPr>
            <w:tcW w:w="277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Общая площадь жилых помещений в жилых домах, тыс. м кв.</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62,1</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7</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25,6</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25,5</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w:t>
            </w:r>
          </w:p>
        </w:tc>
      </w:tr>
    </w:tbl>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ПОТРЕБИТЕЛЬСКИЙ РЫНОК</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 xml:space="preserve">Объем оборота розничной торговли за 9 месяцев 2014 года составил 385,4 млн. руб. (темп роста к уровню прошлого года составил 104 %). Оборот розничной торговли на душу населения составил 39487,8 рублей. Оборот организаций общественного питания – 12,44 млн. рублей (102,0 % к уровню аналогичного периода прошлого года). </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ab/>
        <w:t>Количество объектов торговли -  94, что на 3 объекта или на 3,1% меньше, чем за 9 месяцев 2013 года.</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ab/>
        <w:t>Обеспеченность торговыми площадями на 1000 жителей – 645,8 кв.м., за 8 месяцев  2013 года – 624,5 кв.м.</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ab/>
        <w:t>В целях обеспечения населения товарами повседневного спроса по доступным ценам, реализации продукции сельскохозяйственных перерабатывающих предприятий, фермерских, личных подсобных хозяйств и садоводческих товариществ за 9 месяцев 2014 года на территории Волчанского городского округа было проведено 12 сельскохозяйственных (продуктовых) ярмарок.</w:t>
      </w:r>
    </w:p>
    <w:p w:rsidR="008B6C17" w:rsidRPr="007F425D" w:rsidRDefault="008B6C17" w:rsidP="007F425D">
      <w:pPr>
        <w:spacing w:after="0" w:line="240" w:lineRule="auto"/>
        <w:ind w:firstLine="360"/>
        <w:jc w:val="both"/>
        <w:rPr>
          <w:rFonts w:ascii="Times New Roman" w:hAnsi="Times New Roman" w:cs="Times New Roman"/>
          <w:sz w:val="28"/>
          <w:szCs w:val="28"/>
        </w:rPr>
      </w:pPr>
      <w:r w:rsidRPr="007F425D">
        <w:rPr>
          <w:rFonts w:ascii="Times New Roman" w:hAnsi="Times New Roman" w:cs="Times New Roman"/>
          <w:sz w:val="28"/>
          <w:szCs w:val="28"/>
        </w:rPr>
        <w:tab/>
        <w:t>Оборот ярмарочной торговли составил  1577,5  тыс. рублей (106,7%).</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pStyle w:val="ListParagraph"/>
        <w:spacing w:after="0" w:line="240" w:lineRule="auto"/>
        <w:ind w:left="3556"/>
        <w:jc w:val="both"/>
        <w:rPr>
          <w:rFonts w:ascii="Times New Roman" w:hAnsi="Times New Roman" w:cs="Times New Roman"/>
          <w:sz w:val="28"/>
          <w:szCs w:val="28"/>
        </w:rPr>
      </w:pPr>
      <w:bookmarkStart w:id="16" w:name="Par9818"/>
      <w:bookmarkEnd w:id="16"/>
      <w:r w:rsidRPr="007F425D">
        <w:rPr>
          <w:rFonts w:ascii="Times New Roman" w:hAnsi="Times New Roman" w:cs="Times New Roman"/>
          <w:sz w:val="28"/>
          <w:szCs w:val="28"/>
        </w:rPr>
        <w:t>СЕЛЬСКОЕ ХОЗЯЙСТВО</w:t>
      </w:r>
    </w:p>
    <w:p w:rsidR="008B6C17" w:rsidRPr="007F425D" w:rsidRDefault="008B6C17" w:rsidP="007F425D">
      <w:pPr>
        <w:spacing w:after="0" w:line="240" w:lineRule="auto"/>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Объем выпуска сельскохозяйственной продукции ОАО «Волчанское» за 9 месяцев 2014 года составил  29,0  млн. руб. (107,4 % к уровню прошлого года). Среднесписочная численность работников сельского хозяйства составляет  81 человек, среднемесячная  заработная плата 13144 руб. (117,3%). Численность проживающих в поселке Вьюжный - 255 человек.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По сравнению с 9 месяцами 2013 года  увеличилось поголовье крупного рогатого скота на 41 голову и составило 601 голову, в том числе коров – 265 (на уровне прошлого года). Произведено 1139,8 тонн молока (104,5 %), что на 49,2 тонны больше, чем за аналогичный период прошлого года. Надой на одну корову составил 4301 кг. (104,5 %).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Произведено мяса крупного рогатого скота  в живом весе за 9 месяцев 2014 года  32,31 тонн (66,3 % к уровню 1 полугодия 2013 года).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Площадь ярового сева составила 1135 га (уровень), в том числе: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однолетние травы – 327 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многолетние травы – 808 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01.10.2014 года заготовлено кормов: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сена многолетних трав – 4870 ц.;</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сенажа – 25678 ц.;</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силоса – 8012 ц.</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целом развитие сельскохозяйственного комплекса Волчанского городского округа осуществляется как за счет собственных средств ОАО «Волчанское», так и за счет субсидий из федерального и областного бюджета по программе развития территории сельских населенных пунктов «Уральская деревня».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За 9 месяцев 2014 года вложение инвестиций на приобретение оборудования составило 4,0 млн. рублей.</w:t>
      </w:r>
    </w:p>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noProof/>
          <w:sz w:val="28"/>
          <w:szCs w:val="28"/>
          <w:lang w:eastAsia="ru-RU"/>
        </w:rPr>
        <w:object w:dxaOrig="9572" w:dyaOrig="4983">
          <v:shape id="Диаграмма 8" o:spid="_x0000_i1031" type="#_x0000_t75" style="width:485.25pt;height:275.25pt;visibility:visible" o:ole="">
            <v:imagedata r:id="rId17" o:title="" croptop="-5774f" cropbottom="-1026f" cropleft="-897f"/>
            <o:lock v:ext="edit" aspectratio="f"/>
          </v:shape>
          <o:OLEObject Type="Embed" ProgID="Excel.Sheet.8" ShapeID="Диаграмма 8" DrawAspect="Content" ObjectID="_1635920509" r:id="rId18"/>
        </w:objec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реестр хозяйствующих субъектов агропромышленного комплекса Свердловской области включено три крестьянских (фермерских) хозяйства.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ДЕМОГРАФИЧЕСКИЙ ПРОГНОЗ</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Демографическая ситуация в округе характеризуется стабильным оттоком и старением населения. За последний период (с 2000 года) численность постоянного населения Волчанского городского округа в результате низкой рождаемости и миграционного оттока сократилась с 12,4 до 9,843 тыс. человек (среднегодовой показатель); снижение составило 20,6% к уровню 2000 года.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результате неблагоприятных демографических процессов численность постоянного населения моложе трудоспособного возраста сократилась до 1,8 тыс. человек (72% к уровню 2000 года), что  составляет 18,7% в общей численности трудоспособного населения округа(в 2000 году на долю населения моложе трудоспособного возраста приходилось 20,2% общей численности постоянного населения округа).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Прогноз баланса трудовых ресурсов</w:t>
      </w:r>
    </w:p>
    <w:tbl>
      <w:tblPr>
        <w:tblW w:w="100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5330"/>
        <w:gridCol w:w="1971"/>
        <w:gridCol w:w="1971"/>
      </w:tblGrid>
      <w:tr w:rsidR="008B6C17" w:rsidRPr="007F425D">
        <w:tc>
          <w:tcPr>
            <w:tcW w:w="817" w:type="dxa"/>
            <w:vMerge w:val="restart"/>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п/п</w:t>
            </w:r>
          </w:p>
        </w:tc>
        <w:tc>
          <w:tcPr>
            <w:tcW w:w="5330" w:type="dxa"/>
            <w:vMerge w:val="restart"/>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Наименование показателя</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 настоящий момент</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Плановый период</w:t>
            </w:r>
          </w:p>
        </w:tc>
      </w:tr>
      <w:tr w:rsidR="008B6C17" w:rsidRPr="007F425D">
        <w:tc>
          <w:tcPr>
            <w:tcW w:w="817" w:type="dxa"/>
            <w:vMerge/>
          </w:tcPr>
          <w:p w:rsidR="008B6C17" w:rsidRPr="007F425D" w:rsidRDefault="008B6C17" w:rsidP="007F425D">
            <w:pPr>
              <w:spacing w:after="0" w:line="240" w:lineRule="auto"/>
              <w:jc w:val="center"/>
              <w:rPr>
                <w:rFonts w:ascii="Times New Roman" w:hAnsi="Times New Roman" w:cs="Times New Roman"/>
                <w:sz w:val="24"/>
                <w:szCs w:val="24"/>
              </w:rPr>
            </w:pPr>
          </w:p>
        </w:tc>
        <w:tc>
          <w:tcPr>
            <w:tcW w:w="5330" w:type="dxa"/>
            <w:vMerge/>
          </w:tcPr>
          <w:p w:rsidR="008B6C17" w:rsidRPr="007F425D" w:rsidRDefault="008B6C17" w:rsidP="007F425D">
            <w:pPr>
              <w:spacing w:after="0" w:line="240" w:lineRule="auto"/>
              <w:jc w:val="center"/>
              <w:rPr>
                <w:rFonts w:ascii="Times New Roman" w:hAnsi="Times New Roman" w:cs="Times New Roman"/>
                <w:sz w:val="24"/>
                <w:szCs w:val="24"/>
              </w:rPr>
            </w:pP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2013</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2021</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Численность трудовых ресурсов (стр. 2-4), в том числе:</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4717</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4741</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трудоспособное население в трудоспособном возрасте</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4284</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4300</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иностранные трудовые мигранты</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11</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21</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работающие граждане, находящиеся за пределами трудоспособного возраста (стр.5-6), в том числе:</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422</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420</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пенсионеры старше трудоспособного возраста</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420</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420</w:t>
            </w:r>
          </w:p>
        </w:tc>
      </w:tr>
      <w:tr w:rsidR="008B6C17" w:rsidRPr="007F425D">
        <w:tc>
          <w:tcPr>
            <w:tcW w:w="817"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w:t>
            </w:r>
          </w:p>
        </w:tc>
        <w:tc>
          <w:tcPr>
            <w:tcW w:w="533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подростки моложе трудоспособного возраста</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1971" w:type="dxa"/>
          </w:tcPr>
          <w:p w:rsidR="008B6C17" w:rsidRPr="007F425D" w:rsidRDefault="008B6C17" w:rsidP="007F425D">
            <w:pPr>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spacing w:after="0" w:line="240" w:lineRule="auto"/>
        <w:ind w:firstLine="709"/>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caps/>
          <w:sz w:val="28"/>
          <w:szCs w:val="28"/>
        </w:rPr>
      </w:pPr>
      <w:r w:rsidRPr="007F425D">
        <w:rPr>
          <w:rFonts w:ascii="Times New Roman" w:hAnsi="Times New Roman" w:cs="Times New Roman"/>
          <w:caps/>
          <w:sz w:val="28"/>
          <w:szCs w:val="28"/>
        </w:rPr>
        <w:t>Раздел 2 Обоснование прогнозируемого спроса на коммунальные ресурсы</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2.1. РАСЧЕТ ОБЪЕМОВ НОВОГО ЖИЛИЩНОГО СТРОИТЕЛЬСТВА</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caps/>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Объём жилищного фонда в Волчанском городском округе по состоянию на 01 января 2014 года составил 282,9 тыс. кв. метров. В 2008 - 2013 годах введено 5957,1 кв. метров общей площади жилья. Увеличилась обеспеченность населения области жильем, которая выросла с 19,8 кв. метра в 2010 году до 28,7 кв. метра на человека в 2013 году.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Рынок жилья стал неотъемлемой частью отношений в жилищной сфере. В структуре жилищного фонда в Волчанском городском округе доля частного жилищного фонда на 01 января 2014 года составила 71,7 процентов.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Одним из приоритетных направлений жилищной политики, определённых документами стратегического развития Волчанского городского округа до 2018 года, предусмотрена разработка и реализация инвестиционных проектов комплексного освоения территории в целях массового жилищного строительства как одного из элементов создания условий для роста предложений на рынке жилья.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Важной задачей является предоставление жилья семьям, состоящим на учете в качестве нуждающихся в жилых помещениях. На конец 2013 года в очереди в качестве нуждающихся в жилых помещениях стояло 317 семей. Основной проблемой в этой сфере является ограниченные финансовые возможности у бюджетов всех уровней по строительству и приобретению жилья для предоставления в социальный наем, а также по предоставлению социальных выплат и других мер поддержки по обеспечению жильём.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современных условиях развития жилищного рынка видно, что инструменты реализации жилищной политики, предусматривающие предоставление социального жилья либо приобретение гражданами жилья в собственность, являются недостаточными для удовлетворения текущего спроса граждан на жильё. Наличие категории граждан с умеренными доходами, то есть доходами ниже средних, но не позволяющими  гражданам быть отнесенными к категории малоимущих, а также повышение мобильности трудоспособного населения увеличивает спрос на жилые помещения по договорам найма, что особенно актуально в связи с динамичным созданием промышленных кластеров, технопарков, развитием особых экономических зон.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Приоритеты и цели государственной политики в жилищной сфере определены в соответствии с Указом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среднесрочной перспективе прогнозируется изменение темпов роста жилищного строительства с увеличением объемов жилищного строительства к 2016 году. При сохранении темпов роста жилищного строительства в последующий период, к 2020 году ежегодный ввод жилья на душу населения возрастет до 0,31 кв. м., что полностью соответствует основной цели, в части развития жилищного строительства и увеличения доступности жилья для граждан Волчанского городского округа.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соответствии с национальным проектом «Доступное и комфортное жильё» развитие жилищного строительства в Свердловской области будет происходить по трем направлениям:</w:t>
      </w:r>
    </w:p>
    <w:p w:rsidR="008B6C17" w:rsidRPr="007F425D" w:rsidRDefault="008B6C17" w:rsidP="007F425D">
      <w:pPr>
        <w:pStyle w:val="BodyTextIndent21"/>
        <w:tabs>
          <w:tab w:val="left" w:pos="1080"/>
        </w:tabs>
      </w:pPr>
      <w:r w:rsidRPr="007F425D">
        <w:t>1.</w:t>
      </w:r>
      <w:r w:rsidRPr="007F425D">
        <w:tab/>
        <w:t>Сохранение имеющегося жилого фонда на сложившемся уровне, поддержанием жилищного хозяйства путем уравнивания выбывших и вновь вводимых фондов. В этом случае инвестиционная политика должна быть переориентирована на первоочередное обеспечение сохранности и поддержание на необходимом эксплуатационном уровне существующего жилого фонда, объектов жизнеобеспечения, социальной инфраструктуры и дорог (комплексная реконструкция существующей застройки).</w:t>
      </w:r>
    </w:p>
    <w:p w:rsidR="008B6C17" w:rsidRPr="007F425D" w:rsidRDefault="008B6C17" w:rsidP="007F425D">
      <w:pPr>
        <w:widowControl w:val="0"/>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2.</w:t>
      </w:r>
      <w:r w:rsidRPr="007F425D">
        <w:rPr>
          <w:rFonts w:ascii="Times New Roman" w:hAnsi="Times New Roman" w:cs="Times New Roman"/>
          <w:sz w:val="28"/>
          <w:szCs w:val="28"/>
        </w:rPr>
        <w:tab/>
        <w:t>Улучшение жилищных условий (увеличение квадратных метров на душу населения), то есть стремление к определенному установленному нормативу обеспеченности населения жильем.</w:t>
      </w:r>
    </w:p>
    <w:p w:rsidR="008B6C17" w:rsidRPr="007F425D" w:rsidRDefault="008B6C17" w:rsidP="007F425D">
      <w:pPr>
        <w:pStyle w:val="BodyTextIndent"/>
        <w:tabs>
          <w:tab w:val="left" w:pos="1080"/>
        </w:tabs>
        <w:jc w:val="both"/>
        <w:rPr>
          <w:rFonts w:ascii="Times New Roman" w:hAnsi="Times New Roman" w:cs="Times New Roman"/>
        </w:rPr>
      </w:pPr>
      <w:r w:rsidRPr="007F425D">
        <w:rPr>
          <w:rFonts w:ascii="Times New Roman" w:hAnsi="Times New Roman" w:cs="Times New Roman"/>
        </w:rPr>
        <w:t>3.</w:t>
      </w:r>
      <w:r w:rsidRPr="007F425D">
        <w:rPr>
          <w:rFonts w:ascii="Times New Roman" w:hAnsi="Times New Roman" w:cs="Times New Roman"/>
        </w:rPr>
        <w:tab/>
        <w:t>Вовлечение в хозяйственный оборот объектов жилищного строительства, находящихся в незавершенном строительстве.</w:t>
      </w:r>
    </w:p>
    <w:p w:rsidR="008B6C17" w:rsidRPr="007F425D" w:rsidRDefault="008B6C17" w:rsidP="007F425D">
      <w:pPr>
        <w:tabs>
          <w:tab w:val="left" w:pos="1080"/>
        </w:tabs>
        <w:spacing w:after="0" w:line="240" w:lineRule="auto"/>
        <w:ind w:firstLine="709"/>
        <w:jc w:val="both"/>
        <w:rPr>
          <w:rFonts w:ascii="Times New Roman" w:hAnsi="Times New Roman" w:cs="Times New Roman"/>
          <w:spacing w:val="-2"/>
          <w:sz w:val="28"/>
          <w:szCs w:val="28"/>
        </w:rPr>
      </w:pPr>
      <w:r w:rsidRPr="007F425D">
        <w:rPr>
          <w:rFonts w:ascii="Times New Roman" w:hAnsi="Times New Roman" w:cs="Times New Roman"/>
          <w:sz w:val="28"/>
          <w:szCs w:val="28"/>
        </w:rPr>
        <w:t xml:space="preserve">В Послании Президента РФ (2007 г.) сказано, что ввод жилья по России до 2010 года должен составить 1,0 кв. м на одного человека. По Свердловской области в целом предполагается, в соответствии с реальными возможностями, до 2010 года выйти на ввод жилья на 1 человека до 0,5 кв. м в год, а к 2015 году до 0,8 кв. м в год на человека («Схема территориального планирования Свердловской области»). В Свердловской области также разработан </w:t>
      </w:r>
      <w:r w:rsidRPr="007F425D">
        <w:rPr>
          <w:rFonts w:ascii="Times New Roman" w:hAnsi="Times New Roman" w:cs="Times New Roman"/>
          <w:spacing w:val="17"/>
          <w:position w:val="2"/>
          <w:sz w:val="28"/>
          <w:szCs w:val="28"/>
        </w:rPr>
        <w:t>«</w:t>
      </w:r>
      <w:r w:rsidRPr="007F425D">
        <w:rPr>
          <w:rFonts w:ascii="Times New Roman" w:hAnsi="Times New Roman" w:cs="Times New Roman"/>
          <w:spacing w:val="-2"/>
          <w:sz w:val="28"/>
          <w:szCs w:val="28"/>
        </w:rPr>
        <w:t xml:space="preserve">План мероприятий </w:t>
      </w:r>
      <w:r w:rsidRPr="007F425D">
        <w:rPr>
          <w:rFonts w:ascii="Times New Roman" w:hAnsi="Times New Roman" w:cs="Times New Roman"/>
          <w:sz w:val="28"/>
          <w:szCs w:val="28"/>
        </w:rPr>
        <w:t xml:space="preserve">по обеспечению населения Свердловской области </w:t>
      </w:r>
      <w:r w:rsidRPr="007F425D">
        <w:rPr>
          <w:rFonts w:ascii="Times New Roman" w:hAnsi="Times New Roman" w:cs="Times New Roman"/>
          <w:spacing w:val="11"/>
          <w:sz w:val="28"/>
          <w:szCs w:val="28"/>
        </w:rPr>
        <w:t xml:space="preserve">доступным жильём в 2006 – 2010 годах». </w:t>
      </w:r>
      <w:r w:rsidRPr="007F425D">
        <w:rPr>
          <w:rFonts w:ascii="Times New Roman" w:hAnsi="Times New Roman" w:cs="Times New Roman"/>
          <w:spacing w:val="-2"/>
          <w:sz w:val="28"/>
          <w:szCs w:val="28"/>
        </w:rPr>
        <w:t xml:space="preserve">Учитывая темпы увеличения объёмов строительства, заложенные в </w:t>
      </w:r>
      <w:r w:rsidRPr="007F425D">
        <w:rPr>
          <w:rFonts w:ascii="Times New Roman" w:hAnsi="Times New Roman" w:cs="Times New Roman"/>
          <w:spacing w:val="17"/>
          <w:position w:val="2"/>
          <w:sz w:val="28"/>
          <w:szCs w:val="28"/>
        </w:rPr>
        <w:t>«</w:t>
      </w:r>
      <w:r w:rsidRPr="007F425D">
        <w:rPr>
          <w:rFonts w:ascii="Times New Roman" w:hAnsi="Times New Roman" w:cs="Times New Roman"/>
          <w:spacing w:val="-2"/>
          <w:sz w:val="28"/>
          <w:szCs w:val="28"/>
        </w:rPr>
        <w:t xml:space="preserve">Плане мероприятий </w:t>
      </w:r>
      <w:r w:rsidRPr="007F425D">
        <w:rPr>
          <w:rFonts w:ascii="Times New Roman" w:hAnsi="Times New Roman" w:cs="Times New Roman"/>
          <w:sz w:val="28"/>
          <w:szCs w:val="28"/>
        </w:rPr>
        <w:t xml:space="preserve">по обеспечению населения Свердловской области </w:t>
      </w:r>
      <w:r w:rsidRPr="007F425D">
        <w:rPr>
          <w:rFonts w:ascii="Times New Roman" w:hAnsi="Times New Roman" w:cs="Times New Roman"/>
          <w:spacing w:val="11"/>
          <w:sz w:val="28"/>
          <w:szCs w:val="28"/>
        </w:rPr>
        <w:t>доступным жильём в 2006 – 2010 годах»,</w:t>
      </w:r>
      <w:r w:rsidRPr="007F425D">
        <w:rPr>
          <w:rFonts w:ascii="Times New Roman" w:hAnsi="Times New Roman" w:cs="Times New Roman"/>
          <w:spacing w:val="-2"/>
          <w:sz w:val="28"/>
          <w:szCs w:val="28"/>
        </w:rPr>
        <w:t xml:space="preserve"> в «Схеме территориального планирования» предлагается увеличить ввод жилья на 2015 год по области до 3,47 млн. кв. м и довести ввод жилья на 1 человека до 0,8 кв.м. </w:t>
      </w:r>
    </w:p>
    <w:p w:rsidR="008B6C17" w:rsidRPr="007F425D" w:rsidRDefault="008B6C17" w:rsidP="007F425D">
      <w:pPr>
        <w:shd w:val="clear" w:color="auto" w:fill="FFFFFF"/>
        <w:tabs>
          <w:tab w:val="left" w:pos="1080"/>
        </w:tabs>
        <w:spacing w:after="0" w:line="240" w:lineRule="auto"/>
        <w:ind w:firstLine="709"/>
        <w:jc w:val="both"/>
        <w:rPr>
          <w:rFonts w:ascii="Times New Roman" w:hAnsi="Times New Roman" w:cs="Times New Roman"/>
          <w:spacing w:val="-4"/>
          <w:sz w:val="28"/>
          <w:szCs w:val="28"/>
        </w:rPr>
      </w:pPr>
      <w:r w:rsidRPr="007F425D">
        <w:rPr>
          <w:rFonts w:ascii="Times New Roman" w:hAnsi="Times New Roman" w:cs="Times New Roman"/>
          <w:spacing w:val="-1"/>
          <w:sz w:val="28"/>
          <w:szCs w:val="28"/>
        </w:rPr>
        <w:t xml:space="preserve">В </w:t>
      </w:r>
      <w:r w:rsidRPr="007F425D">
        <w:rPr>
          <w:rFonts w:ascii="Times New Roman" w:hAnsi="Times New Roman" w:cs="Times New Roman"/>
          <w:spacing w:val="-4"/>
          <w:sz w:val="28"/>
          <w:szCs w:val="28"/>
        </w:rPr>
        <w:t xml:space="preserve">«Схеме территориального планирования Свердловской области» в </w:t>
      </w:r>
      <w:r w:rsidRPr="007F425D">
        <w:rPr>
          <w:rFonts w:ascii="Times New Roman" w:hAnsi="Times New Roman" w:cs="Times New Roman"/>
          <w:spacing w:val="-1"/>
          <w:sz w:val="28"/>
          <w:szCs w:val="28"/>
        </w:rPr>
        <w:t xml:space="preserve">результате кластерного анализа территорий Свердловской области по индикаторам основных проблем в жилищной сфере были выделены четыре основные группы </w:t>
      </w:r>
      <w:r w:rsidRPr="007F425D">
        <w:rPr>
          <w:rFonts w:ascii="Times New Roman" w:hAnsi="Times New Roman" w:cs="Times New Roman"/>
          <w:spacing w:val="-4"/>
          <w:sz w:val="28"/>
          <w:szCs w:val="28"/>
        </w:rPr>
        <w:t xml:space="preserve">территорий. </w:t>
      </w:r>
    </w:p>
    <w:p w:rsidR="008B6C17" w:rsidRPr="007F425D" w:rsidRDefault="008B6C17" w:rsidP="007F425D">
      <w:pPr>
        <w:shd w:val="clear" w:color="auto" w:fill="FFFFFF"/>
        <w:tabs>
          <w:tab w:val="left" w:pos="1080"/>
        </w:tabs>
        <w:spacing w:after="0" w:line="240" w:lineRule="auto"/>
        <w:ind w:firstLine="709"/>
        <w:jc w:val="both"/>
        <w:rPr>
          <w:rFonts w:ascii="Times New Roman" w:hAnsi="Times New Roman" w:cs="Times New Roman"/>
          <w:spacing w:val="-2"/>
          <w:sz w:val="28"/>
          <w:szCs w:val="28"/>
        </w:rPr>
      </w:pPr>
      <w:r w:rsidRPr="007F425D">
        <w:rPr>
          <w:rFonts w:ascii="Times New Roman" w:hAnsi="Times New Roman" w:cs="Times New Roman"/>
          <w:spacing w:val="-4"/>
          <w:sz w:val="28"/>
          <w:szCs w:val="28"/>
        </w:rPr>
        <w:t xml:space="preserve">Волчанский городской округ отнесён к четвёртой группе (таблица 25). </w:t>
      </w:r>
      <w:r w:rsidRPr="007F425D">
        <w:rPr>
          <w:rFonts w:ascii="Times New Roman" w:hAnsi="Times New Roman" w:cs="Times New Roman"/>
          <w:spacing w:val="-1"/>
          <w:sz w:val="28"/>
          <w:szCs w:val="28"/>
          <w:lang w:val="en-US"/>
        </w:rPr>
        <w:t>IV</w:t>
      </w:r>
      <w:r w:rsidRPr="007F425D">
        <w:rPr>
          <w:rFonts w:ascii="Times New Roman" w:hAnsi="Times New Roman" w:cs="Times New Roman"/>
          <w:spacing w:val="8"/>
          <w:sz w:val="28"/>
          <w:szCs w:val="28"/>
        </w:rPr>
        <w:t xml:space="preserve"> группа - экономически менее развитые территории со значимой остротой основных </w:t>
      </w:r>
      <w:r w:rsidRPr="007F425D">
        <w:rPr>
          <w:rFonts w:ascii="Times New Roman" w:hAnsi="Times New Roman" w:cs="Times New Roman"/>
          <w:spacing w:val="-3"/>
          <w:sz w:val="28"/>
          <w:szCs w:val="28"/>
        </w:rPr>
        <w:t xml:space="preserve">проблем в жилищной сфере. </w:t>
      </w:r>
      <w:r w:rsidRPr="007F425D">
        <w:rPr>
          <w:rFonts w:ascii="Times New Roman" w:hAnsi="Times New Roman" w:cs="Times New Roman"/>
          <w:sz w:val="28"/>
          <w:szCs w:val="28"/>
        </w:rPr>
        <w:t xml:space="preserve">На территориях </w:t>
      </w:r>
      <w:r w:rsidRPr="007F425D">
        <w:rPr>
          <w:rFonts w:ascii="Times New Roman" w:hAnsi="Times New Roman" w:cs="Times New Roman"/>
          <w:spacing w:val="-1"/>
          <w:sz w:val="28"/>
          <w:szCs w:val="28"/>
          <w:lang w:val="en-US"/>
        </w:rPr>
        <w:t>IV</w:t>
      </w:r>
      <w:r w:rsidRPr="007F425D">
        <w:rPr>
          <w:rFonts w:ascii="Times New Roman" w:hAnsi="Times New Roman" w:cs="Times New Roman"/>
          <w:sz w:val="28"/>
          <w:szCs w:val="28"/>
        </w:rPr>
        <w:t xml:space="preserve"> группы особая острота основных проблем в </w:t>
      </w:r>
      <w:r w:rsidRPr="007F425D">
        <w:rPr>
          <w:rFonts w:ascii="Times New Roman" w:hAnsi="Times New Roman" w:cs="Times New Roman"/>
          <w:spacing w:val="8"/>
          <w:sz w:val="28"/>
          <w:szCs w:val="28"/>
        </w:rPr>
        <w:t xml:space="preserve">жилищной сфере сочетается с ограниченностью возможностей по их </w:t>
      </w:r>
      <w:r w:rsidRPr="007F425D">
        <w:rPr>
          <w:rFonts w:ascii="Times New Roman" w:hAnsi="Times New Roman" w:cs="Times New Roman"/>
          <w:spacing w:val="1"/>
          <w:sz w:val="28"/>
          <w:szCs w:val="28"/>
        </w:rPr>
        <w:t xml:space="preserve">решению (возможности бюджетного финансирования, платежеспособный </w:t>
      </w:r>
      <w:r w:rsidRPr="007F425D">
        <w:rPr>
          <w:rFonts w:ascii="Times New Roman" w:hAnsi="Times New Roman" w:cs="Times New Roman"/>
          <w:spacing w:val="-1"/>
          <w:sz w:val="28"/>
          <w:szCs w:val="28"/>
        </w:rPr>
        <w:t>спрос населения). Все это определяет и низкую инвестиционную привлекательность жилищной сферы. Пр</w:t>
      </w:r>
      <w:r w:rsidRPr="007F425D">
        <w:rPr>
          <w:rFonts w:ascii="Times New Roman" w:hAnsi="Times New Roman" w:cs="Times New Roman"/>
          <w:spacing w:val="2"/>
          <w:sz w:val="28"/>
          <w:szCs w:val="28"/>
        </w:rPr>
        <w:t xml:space="preserve">иоритетом в данной группе должна стать </w:t>
      </w:r>
      <w:r w:rsidRPr="007F425D">
        <w:rPr>
          <w:rFonts w:ascii="Times New Roman" w:hAnsi="Times New Roman" w:cs="Times New Roman"/>
          <w:spacing w:val="8"/>
          <w:sz w:val="28"/>
          <w:szCs w:val="28"/>
        </w:rPr>
        <w:t xml:space="preserve">поддержка индивидуального жилищного строительства и развитие </w:t>
      </w:r>
      <w:r w:rsidRPr="007F425D">
        <w:rPr>
          <w:rFonts w:ascii="Times New Roman" w:hAnsi="Times New Roman" w:cs="Times New Roman"/>
          <w:spacing w:val="2"/>
          <w:sz w:val="28"/>
          <w:szCs w:val="28"/>
        </w:rPr>
        <w:t xml:space="preserve">малоэтажного строительства из быстровозводимых трансформируемых </w:t>
      </w:r>
      <w:r w:rsidRPr="007F425D">
        <w:rPr>
          <w:rFonts w:ascii="Times New Roman" w:hAnsi="Times New Roman" w:cs="Times New Roman"/>
          <w:sz w:val="28"/>
          <w:szCs w:val="28"/>
        </w:rPr>
        <w:t xml:space="preserve">элементов как наиболее реального пути роста объемов строительства доступного жилья для граждан </w:t>
      </w:r>
      <w:r w:rsidRPr="007F425D">
        <w:rPr>
          <w:rFonts w:ascii="Times New Roman" w:hAnsi="Times New Roman" w:cs="Times New Roman"/>
          <w:spacing w:val="-2"/>
          <w:sz w:val="28"/>
          <w:szCs w:val="28"/>
        </w:rPr>
        <w:t xml:space="preserve">с невысоким уровнем доходов. </w:t>
      </w:r>
    </w:p>
    <w:p w:rsidR="008B6C17" w:rsidRPr="007F425D" w:rsidRDefault="008B6C17" w:rsidP="007F425D">
      <w:pPr>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Предложения по развитию жилищного строительства в Волчанском городском округе до 2017 года</w:t>
      </w:r>
    </w:p>
    <w:p w:rsidR="008B6C17" w:rsidRPr="007F425D" w:rsidRDefault="008B6C17" w:rsidP="007F425D">
      <w:pPr>
        <w:spacing w:after="0" w:line="240" w:lineRule="auto"/>
        <w:jc w:val="right"/>
        <w:rPr>
          <w:rFonts w:ascii="Times New Roman" w:hAnsi="Times New Roman" w:cs="Times New Roman"/>
          <w:sz w:val="28"/>
          <w:szCs w:val="28"/>
        </w:rPr>
      </w:pPr>
      <w:r w:rsidRPr="007F425D">
        <w:rPr>
          <w:rFonts w:ascii="Times New Roman" w:hAnsi="Times New Roman" w:cs="Times New Roman"/>
          <w:sz w:val="28"/>
          <w:szCs w:val="28"/>
        </w:rPr>
        <w:t>Таблица 6</w:t>
      </w:r>
    </w:p>
    <w:tbl>
      <w:tblPr>
        <w:tblW w:w="0" w:type="auto"/>
        <w:jc w:val="center"/>
        <w:tblCellMar>
          <w:left w:w="57" w:type="dxa"/>
          <w:right w:w="57" w:type="dxa"/>
        </w:tblCellMar>
        <w:tblLook w:val="0000"/>
      </w:tblPr>
      <w:tblGrid>
        <w:gridCol w:w="1873"/>
        <w:gridCol w:w="1520"/>
        <w:gridCol w:w="1087"/>
        <w:gridCol w:w="1520"/>
        <w:gridCol w:w="1087"/>
        <w:gridCol w:w="1520"/>
        <w:gridCol w:w="1087"/>
      </w:tblGrid>
      <w:tr w:rsidR="008B6C17" w:rsidRPr="007F425D">
        <w:trPr>
          <w:trHeight w:val="20"/>
          <w:tblHeader/>
          <w:jc w:val="center"/>
        </w:trPr>
        <w:tc>
          <w:tcPr>
            <w:tcW w:w="0" w:type="auto"/>
            <w:vMerge w:val="restart"/>
            <w:tcBorders>
              <w:top w:val="single" w:sz="4" w:space="0" w:color="auto"/>
              <w:left w:val="single" w:sz="4" w:space="0" w:color="auto"/>
              <w:bottom w:val="nil"/>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Муниципальные образования</w:t>
            </w:r>
          </w:p>
        </w:tc>
        <w:tc>
          <w:tcPr>
            <w:tcW w:w="0" w:type="auto"/>
            <w:gridSpan w:val="2"/>
            <w:tcBorders>
              <w:top w:val="single" w:sz="4" w:space="0" w:color="auto"/>
              <w:left w:val="nil"/>
              <w:bottom w:val="single" w:sz="4" w:space="0" w:color="auto"/>
              <w:right w:val="single" w:sz="4" w:space="0" w:color="auto"/>
            </w:tcBorders>
            <w:noWrap/>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0" w:type="auto"/>
            <w:gridSpan w:val="2"/>
            <w:tcBorders>
              <w:top w:val="single" w:sz="4" w:space="0" w:color="auto"/>
              <w:left w:val="nil"/>
              <w:bottom w:val="single" w:sz="4" w:space="0" w:color="auto"/>
              <w:right w:val="single" w:sz="4" w:space="0" w:color="auto"/>
            </w:tcBorders>
            <w:noWrap/>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0" w:type="auto"/>
            <w:gridSpan w:val="2"/>
            <w:tcBorders>
              <w:top w:val="single" w:sz="4" w:space="0" w:color="auto"/>
              <w:left w:val="nil"/>
              <w:bottom w:val="single" w:sz="4" w:space="0" w:color="auto"/>
              <w:right w:val="single" w:sz="4" w:space="0" w:color="auto"/>
            </w:tcBorders>
            <w:noWrap/>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r>
      <w:tr w:rsidR="008B6C17" w:rsidRPr="007F425D">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Расчетные показатели объёмов ввода жилья</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кв. м)</w:t>
            </w: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Ввод жилья на 1 жителя (кв. м/чел.)</w:t>
            </w: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Расчетные показатели объёмов ввода жилья</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кв. м)</w:t>
            </w: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Ввод жилья на 1 жителя (кв. м/чел.)</w:t>
            </w: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Расчетные показатели объёмов ввода жилья</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кв. м)</w:t>
            </w:r>
          </w:p>
        </w:tc>
        <w:tc>
          <w:tcPr>
            <w:tcW w:w="0" w:type="auto"/>
            <w:tcBorders>
              <w:top w:val="single" w:sz="4" w:space="0" w:color="auto"/>
              <w:left w:val="nil"/>
              <w:bottom w:val="single" w:sz="4"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Ввод жилья на 1 жителя (кв. м/чел.)</w:t>
            </w:r>
          </w:p>
        </w:tc>
      </w:tr>
      <w:tr w:rsidR="008B6C17" w:rsidRPr="007F425D">
        <w:trPr>
          <w:trHeight w:val="20"/>
          <w:jc w:val="center"/>
        </w:trPr>
        <w:tc>
          <w:tcPr>
            <w:tcW w:w="0" w:type="auto"/>
            <w:tcBorders>
              <w:top w:val="single" w:sz="4" w:space="0" w:color="auto"/>
              <w:left w:val="single" w:sz="4" w:space="0" w:color="auto"/>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 xml:space="preserve">IY </w:t>
            </w:r>
            <w:r w:rsidRPr="007F425D">
              <w:rPr>
                <w:rFonts w:ascii="Times New Roman" w:hAnsi="Times New Roman" w:cs="Times New Roman"/>
                <w:sz w:val="24"/>
                <w:szCs w:val="24"/>
              </w:rPr>
              <w:t>группа</w:t>
            </w: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lang w:val="en-US"/>
              </w:rPr>
            </w:pPr>
          </w:p>
        </w:tc>
        <w:tc>
          <w:tcPr>
            <w:tcW w:w="0" w:type="auto"/>
            <w:tcBorders>
              <w:top w:val="single" w:sz="4" w:space="0" w:color="auto"/>
              <w:left w:val="nil"/>
              <w:bottom w:val="single" w:sz="4" w:space="0" w:color="auto"/>
              <w:right w:val="single" w:sz="4" w:space="0" w:color="auto"/>
            </w:tcBorders>
            <w:noWrap/>
          </w:tcPr>
          <w:p w:rsidR="008B6C17" w:rsidRPr="007F425D" w:rsidRDefault="008B6C17" w:rsidP="007F425D">
            <w:pPr>
              <w:spacing w:after="0" w:line="240" w:lineRule="auto"/>
              <w:jc w:val="both"/>
              <w:rPr>
                <w:rFonts w:ascii="Times New Roman" w:hAnsi="Times New Roman" w:cs="Times New Roman"/>
                <w:sz w:val="24"/>
                <w:szCs w:val="24"/>
              </w:rPr>
            </w:pPr>
          </w:p>
        </w:tc>
      </w:tr>
      <w:tr w:rsidR="008B6C17" w:rsidRPr="007F425D">
        <w:trPr>
          <w:trHeight w:val="20"/>
          <w:jc w:val="center"/>
        </w:trPr>
        <w:tc>
          <w:tcPr>
            <w:tcW w:w="0" w:type="auto"/>
            <w:tcBorders>
              <w:top w:val="nil"/>
              <w:left w:val="single" w:sz="4" w:space="0" w:color="auto"/>
              <w:bottom w:val="single" w:sz="4" w:space="0" w:color="auto"/>
              <w:right w:val="single" w:sz="4" w:space="0" w:color="auto"/>
            </w:tcBorders>
            <w:noWrap/>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Волчанск</w:t>
            </w:r>
            <w:r w:rsidRPr="007F425D">
              <w:rPr>
                <w:rFonts w:ascii="Times New Roman" w:hAnsi="Times New Roman" w:cs="Times New Roman"/>
                <w:sz w:val="24"/>
                <w:szCs w:val="24"/>
                <w:lang w:val="en-US"/>
              </w:rPr>
              <w:t xml:space="preserve">ий </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городской округ</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3566</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0,36</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4633</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0,46</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4100</w:t>
            </w:r>
          </w:p>
        </w:tc>
        <w:tc>
          <w:tcPr>
            <w:tcW w:w="0" w:type="auto"/>
            <w:tcBorders>
              <w:top w:val="nil"/>
              <w:left w:val="nil"/>
              <w:bottom w:val="single" w:sz="4" w:space="0" w:color="auto"/>
              <w:right w:val="single" w:sz="4" w:space="0" w:color="auto"/>
            </w:tcBorders>
            <w:noWrap/>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0,35</w:t>
            </w:r>
          </w:p>
        </w:tc>
      </w:tr>
    </w:tbl>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Жилищная политика на территории округа осуществляется в соответствии с утвержденными долгосрочными и среднесрочными программами социально-экономического развития:</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 Программой социально-экономического развития Волчанского городского округа на период до 2018 года, утвержденной  Решением Волчанской городской Думы от 30.10.2013 года № 103 «Об утверждении Программы социально-экономического развития Волчанского городского округа на период до 2018 года».</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 Комплексным инвестиционным планом развития Волчанского городского округа на период до 2020 года, одобренным рабочей группой по разработке и реализации Комплексного инвестиционного плана развития Волчанского городского округа (Протокол заседания от 12.10.2010 года № 1);</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 Программой «Устойчивое развитие сельских населенных пунктов Волчанского городского округа на 2015-2020 годы», утвержденной постановлением главы Волчанского городского округа от 11.08.2014 года № 627 «Об утверждении муниципальной программы Волчанского городского округа «Устойчивое развитие сельских населенных пунктов Волчанского городского округа на 2015-2020 годы»;</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 Программой «Обеспечение доступным жильем молодых семей и малоимущих граждан на территории Волчанского городского округа до 2020 года», утвержденной постановлением главы Волчанского городского округа от 04.12.2014 года № 992 «Об утверждении муниципальной программы Волчанского городского округа «Обеспечение доступным жильем молодых семей и малоимущих граждан на территории Волчанского городского округа до 2020 года»;</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Муниципальной адресной программой «Переселение жителей Волчанского городского округа из аварийного жилищного фонда с учетом необходимости развития малоэтажного жилищного строительства на 2013-2017 годы», утвержденной  постановлением главы Волчанского городского округа от 29.04.2013 года № 349 «Об утверждении муниципальной адресной программы «Переселение жителей Волчанского городского округа из аварийного жилищного фонда с учетом необходимости развития малоэтажного жилищного строительства».</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осуществляется реализация  приоритетного национального проекта «Доступное  и комфортное жилье – гражданам России» в Волчанском городском округе на 2015-2020 годы, утвержденного постановлением главы Волчанского городского округа от 25.12.2014 года № 1078 «Об утверждении программы по реализации приоритетного национального проекта «Доступное  и комфортное жилье – гражданам России» в Волчанском городском округе на 2015-2020 годы».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Приоритетные направления  жилищной политики:</w:t>
      </w:r>
    </w:p>
    <w:p w:rsidR="008B6C17" w:rsidRPr="007F425D" w:rsidRDefault="008B6C17" w:rsidP="007F425D">
      <w:pPr>
        <w:spacing w:after="0" w:line="240" w:lineRule="auto"/>
        <w:jc w:val="both"/>
        <w:rPr>
          <w:rFonts w:ascii="Times New Roman" w:hAnsi="Times New Roman" w:cs="Times New Roman"/>
          <w:i/>
          <w:iCs/>
          <w:sz w:val="28"/>
          <w:szCs w:val="28"/>
        </w:rPr>
      </w:pPr>
      <w:r w:rsidRPr="007F425D">
        <w:rPr>
          <w:rFonts w:ascii="Times New Roman" w:hAnsi="Times New Roman" w:cs="Times New Roman"/>
          <w:i/>
          <w:iCs/>
          <w:sz w:val="28"/>
          <w:szCs w:val="28"/>
        </w:rPr>
        <w:t>В 2015 году:</w:t>
      </w:r>
    </w:p>
    <w:p w:rsidR="008B6C17" w:rsidRPr="007F425D" w:rsidRDefault="008B6C17" w:rsidP="007F425D">
      <w:pPr>
        <w:numPr>
          <w:ilvl w:val="0"/>
          <w:numId w:val="34"/>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достижение средней обеспеченности жильём 29,1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на человека; </w:t>
      </w:r>
    </w:p>
    <w:p w:rsidR="008B6C17" w:rsidRPr="007F425D" w:rsidRDefault="008B6C17" w:rsidP="007F425D">
      <w:pPr>
        <w:numPr>
          <w:ilvl w:val="0"/>
          <w:numId w:val="34"/>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завершение обеспечения жильём вставших на учёт до 1 января 2005 года, ветеранов боевых действий, инвалидов по общему заболеванию, семей, имеющих детей-инвалидов;</w:t>
      </w:r>
    </w:p>
    <w:p w:rsidR="008B6C17" w:rsidRPr="007F425D" w:rsidRDefault="008B6C17" w:rsidP="007F425D">
      <w:pPr>
        <w:tabs>
          <w:tab w:val="left" w:pos="1080"/>
        </w:tabs>
        <w:spacing w:after="0" w:line="240" w:lineRule="auto"/>
        <w:ind w:firstLine="720"/>
        <w:jc w:val="both"/>
        <w:rPr>
          <w:rFonts w:ascii="Times New Roman" w:hAnsi="Times New Roman" w:cs="Times New Roman"/>
          <w:i/>
          <w:iCs/>
          <w:sz w:val="28"/>
          <w:szCs w:val="28"/>
        </w:rPr>
      </w:pPr>
      <w:r w:rsidRPr="007F425D">
        <w:rPr>
          <w:rFonts w:ascii="Times New Roman" w:hAnsi="Times New Roman" w:cs="Times New Roman"/>
          <w:i/>
          <w:iCs/>
          <w:sz w:val="28"/>
          <w:szCs w:val="28"/>
        </w:rPr>
        <w:t>2016- 2025 годы:</w:t>
      </w:r>
    </w:p>
    <w:p w:rsidR="008B6C17" w:rsidRPr="007F425D" w:rsidRDefault="008B6C17" w:rsidP="007F425D">
      <w:pPr>
        <w:numPr>
          <w:ilvl w:val="0"/>
          <w:numId w:val="35"/>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достижение средней обеспеченности жильём 31,1 - 33,7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в 2020 году;</w:t>
      </w:r>
    </w:p>
    <w:p w:rsidR="008B6C17" w:rsidRPr="007F425D" w:rsidRDefault="008B6C17" w:rsidP="007F425D">
      <w:pPr>
        <w:numPr>
          <w:ilvl w:val="0"/>
          <w:numId w:val="35"/>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полное выведение в 2020 году из существующего жилищного фонда аварийного жилья (45,1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- 94 дома);</w:t>
      </w:r>
    </w:p>
    <w:p w:rsidR="008B6C17" w:rsidRPr="007F425D" w:rsidRDefault="008B6C17" w:rsidP="007F425D">
      <w:pPr>
        <w:numPr>
          <w:ilvl w:val="0"/>
          <w:numId w:val="35"/>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сокращение к 2020 году срока обеспечения жильём социального использования малоимущих граждан, признанных нуждающимися в жилье, до 5 лет после постановки на учёт;</w:t>
      </w:r>
    </w:p>
    <w:p w:rsidR="008B6C17" w:rsidRPr="007F425D" w:rsidRDefault="008B6C17" w:rsidP="007F425D">
      <w:pPr>
        <w:numPr>
          <w:ilvl w:val="0"/>
          <w:numId w:val="35"/>
        </w:numPr>
        <w:tabs>
          <w:tab w:val="left" w:pos="108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обеспечение ввода жилья социального использования  в объеме 400 квартир при условии представления финансовой поддержки из областного бюджета для обеспечения жильем малоимущих граждан Волчанского городского округа.</w:t>
      </w:r>
    </w:p>
    <w:p w:rsidR="008B6C17" w:rsidRPr="007F425D" w:rsidRDefault="008B6C17" w:rsidP="007F425D">
      <w:pPr>
        <w:tabs>
          <w:tab w:val="left" w:pos="1080"/>
        </w:tabs>
        <w:spacing w:after="0" w:line="240" w:lineRule="auto"/>
        <w:ind w:left="720"/>
        <w:jc w:val="both"/>
        <w:rPr>
          <w:rFonts w:ascii="Times New Roman" w:hAnsi="Times New Roman" w:cs="Times New Roman"/>
          <w:sz w:val="28"/>
          <w:szCs w:val="28"/>
        </w:rPr>
      </w:pPr>
      <w:r w:rsidRPr="007F425D">
        <w:rPr>
          <w:rFonts w:ascii="Times New Roman" w:hAnsi="Times New Roman" w:cs="Times New Roman"/>
          <w:sz w:val="28"/>
          <w:szCs w:val="28"/>
        </w:rPr>
        <w:t>2030 годы:</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обеспечение ввода жилья социального использования  в объеме 200 квартир при условии представления финансовой поддержки из областного бюджета для обеспечения жильем малоимущих граждан Волчанского городского округа.</w:t>
      </w:r>
    </w:p>
    <w:p w:rsidR="008B6C17" w:rsidRPr="007F425D" w:rsidRDefault="008B6C17" w:rsidP="007F425D">
      <w:pPr>
        <w:pStyle w:val="BodyText2"/>
        <w:tabs>
          <w:tab w:val="left" w:pos="1080"/>
        </w:tabs>
        <w:spacing w:after="0" w:line="240" w:lineRule="auto"/>
        <w:ind w:firstLine="709"/>
        <w:jc w:val="both"/>
        <w:outlineLvl w:val="0"/>
        <w:rPr>
          <w:rFonts w:ascii="Times New Roman" w:hAnsi="Times New Roman" w:cs="Times New Roman"/>
          <w:sz w:val="28"/>
          <w:szCs w:val="28"/>
        </w:rPr>
      </w:pPr>
      <w:r w:rsidRPr="007F425D">
        <w:rPr>
          <w:rFonts w:ascii="Times New Roman" w:hAnsi="Times New Roman" w:cs="Times New Roman"/>
          <w:sz w:val="28"/>
          <w:szCs w:val="28"/>
        </w:rPr>
        <w:t>На 01.01. 2014 г. года общая площадь жилищного фонда Волчанского городского округа составила 280,7 тыс.м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городской местности размещено 275,3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жилья, в сельской – 5,4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Обеспеченность жильём населения округа составила 28,7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/чел.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Ввод жилья за 2014 год составил 0,6 тыс.м2. </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Жилищный фонд Волчанского городского округа на 2025 год должен составить  379,9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в том числе в городской местности – 368,5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в сельской местности – 11,4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При этом обеспеченность населения жилищным фондом составит всего по округу – 35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по городской местности – 35,1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по сельской местности –  32,6 </w:t>
      </w:r>
      <w:r w:rsidRPr="007F425D">
        <w:rPr>
          <w:rFonts w:ascii="Times New Roman" w:hAnsi="Times New Roman" w:cs="Times New Roman"/>
          <w:sz w:val="28"/>
          <w:szCs w:val="28"/>
          <w:vertAlign w:val="superscript"/>
        </w:rPr>
        <w:t xml:space="preserve"> </w:t>
      </w:r>
      <w:r w:rsidRPr="007F425D">
        <w:rPr>
          <w:rFonts w:ascii="Times New Roman" w:hAnsi="Times New Roman" w:cs="Times New Roman"/>
          <w:sz w:val="28"/>
          <w:szCs w:val="28"/>
        </w:rPr>
        <w:t>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w:t>
      </w:r>
    </w:p>
    <w:p w:rsidR="008B6C17" w:rsidRPr="007F425D" w:rsidRDefault="008B6C17" w:rsidP="007F425D">
      <w:pPr>
        <w:pStyle w:val="ConsPlusNormal"/>
        <w:widowControl/>
        <w:tabs>
          <w:tab w:val="left" w:pos="1080"/>
        </w:tabs>
        <w:ind w:firstLine="709"/>
        <w:jc w:val="both"/>
        <w:rPr>
          <w:rFonts w:ascii="Times New Roman" w:hAnsi="Times New Roman" w:cs="Times New Roman"/>
          <w:sz w:val="28"/>
          <w:szCs w:val="28"/>
        </w:rPr>
      </w:pPr>
      <w:r w:rsidRPr="007F425D">
        <w:rPr>
          <w:rFonts w:ascii="Times New Roman" w:hAnsi="Times New Roman" w:cs="Times New Roman"/>
          <w:sz w:val="28"/>
          <w:szCs w:val="28"/>
        </w:rPr>
        <w:t>Жилищный фонд Волчанского городского округа на 2015 год должен составить  283,0 тыс. м</w:t>
      </w:r>
      <w:r w:rsidRPr="007F425D">
        <w:rPr>
          <w:rFonts w:ascii="Times New Roman" w:hAnsi="Times New Roman" w:cs="Times New Roman"/>
          <w:sz w:val="28"/>
          <w:szCs w:val="28"/>
          <w:vertAlign w:val="superscript"/>
        </w:rPr>
        <w:t>2</w:t>
      </w:r>
      <w:r w:rsidRPr="007F425D">
        <w:rPr>
          <w:rFonts w:ascii="Times New Roman" w:hAnsi="Times New Roman" w:cs="Times New Roman"/>
          <w:sz w:val="28"/>
          <w:szCs w:val="28"/>
        </w:rPr>
        <w:t xml:space="preserve"> общей площади в городской местности – 277,1 тыс. м</w:t>
      </w:r>
      <w:r w:rsidRPr="007F425D">
        <w:rPr>
          <w:rFonts w:ascii="Times New Roman" w:hAnsi="Times New Roman" w:cs="Times New Roman"/>
          <w:sz w:val="28"/>
          <w:szCs w:val="28"/>
          <w:vertAlign w:val="superscript"/>
        </w:rPr>
        <w:t xml:space="preserve">2.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Убыль жилищного фонда определена с учётом  муниципальной программы по отселению граждан из ветхого и аварийного жилищного фонда и с учётом выноса жилищного фонда из санитарно-защитных зон промышленных и коммунальных предприятий..</w:t>
      </w:r>
    </w:p>
    <w:p w:rsidR="008B6C17" w:rsidRPr="007F425D" w:rsidRDefault="008B6C17" w:rsidP="007F425D">
      <w:pPr>
        <w:pStyle w:val="BodyText"/>
        <w:tabs>
          <w:tab w:val="left" w:pos="1080"/>
        </w:tabs>
        <w:spacing w:after="0"/>
        <w:ind w:firstLine="720"/>
        <w:jc w:val="both"/>
        <w:rPr>
          <w:sz w:val="28"/>
          <w:szCs w:val="28"/>
        </w:rPr>
      </w:pPr>
      <w:r w:rsidRPr="007F425D">
        <w:rPr>
          <w:sz w:val="28"/>
          <w:szCs w:val="28"/>
        </w:rPr>
        <w:t>Структура жилищного фонда городского округа к концу расчетного срока характеризуется следующими данными:</w:t>
      </w:r>
    </w:p>
    <w:p w:rsidR="008B6C17" w:rsidRPr="007F425D" w:rsidRDefault="008B6C17" w:rsidP="007F425D">
      <w:pPr>
        <w:pStyle w:val="BodyText"/>
        <w:tabs>
          <w:tab w:val="left" w:pos="1080"/>
        </w:tabs>
        <w:spacing w:after="0"/>
        <w:ind w:firstLine="720"/>
        <w:jc w:val="right"/>
        <w:rPr>
          <w:sz w:val="28"/>
          <w:szCs w:val="28"/>
        </w:rPr>
      </w:pPr>
      <w:r w:rsidRPr="007F425D">
        <w:rPr>
          <w:sz w:val="28"/>
          <w:szCs w:val="28"/>
        </w:rPr>
        <w:t>Таблица 7</w:t>
      </w:r>
    </w:p>
    <w:p w:rsidR="008B6C17" w:rsidRPr="007F425D" w:rsidRDefault="008B6C17" w:rsidP="007F425D">
      <w:pPr>
        <w:pStyle w:val="BodyText"/>
        <w:tabs>
          <w:tab w:val="left" w:pos="1080"/>
        </w:tabs>
        <w:spacing w:after="0"/>
        <w:ind w:firstLine="720"/>
        <w:jc w:val="right"/>
      </w:pPr>
    </w:p>
    <w:tbl>
      <w:tblPr>
        <w:tblW w:w="8433" w:type="dxa"/>
        <w:tblInd w:w="2" w:type="dxa"/>
        <w:tblLayout w:type="fixed"/>
        <w:tblLook w:val="0000"/>
      </w:tblPr>
      <w:tblGrid>
        <w:gridCol w:w="3428"/>
        <w:gridCol w:w="1227"/>
        <w:gridCol w:w="1953"/>
        <w:gridCol w:w="1717"/>
      </w:tblGrid>
      <w:tr w:rsidR="008B6C17" w:rsidRPr="007F425D">
        <w:trPr>
          <w:cantSplit/>
          <w:trHeight w:val="20"/>
          <w:tblHeader/>
        </w:trPr>
        <w:tc>
          <w:tcPr>
            <w:tcW w:w="3536" w:type="dxa"/>
            <w:vMerge w:val="restart"/>
            <w:tcBorders>
              <w:top w:val="single" w:sz="8" w:space="0" w:color="auto"/>
              <w:left w:val="single" w:sz="8" w:space="0" w:color="auto"/>
              <w:bottom w:val="single" w:sz="8" w:space="0" w:color="000000"/>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Показатели, единицы измерения</w:t>
            </w:r>
          </w:p>
        </w:tc>
        <w:tc>
          <w:tcPr>
            <w:tcW w:w="1227" w:type="dxa"/>
            <w:vMerge w:val="restart"/>
            <w:tcBorders>
              <w:top w:val="single" w:sz="8" w:space="0" w:color="auto"/>
              <w:left w:val="single" w:sz="4" w:space="0" w:color="auto"/>
              <w:bottom w:val="single" w:sz="8" w:space="0" w:color="000000"/>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w:t>
            </w:r>
          </w:p>
        </w:tc>
        <w:tc>
          <w:tcPr>
            <w:tcW w:w="3670" w:type="dxa"/>
            <w:gridSpan w:val="2"/>
            <w:tcBorders>
              <w:top w:val="single" w:sz="8" w:space="0" w:color="auto"/>
              <w:left w:val="nil"/>
              <w:bottom w:val="nil"/>
              <w:right w:val="single" w:sz="8" w:space="0" w:color="000000"/>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В том числе по этажности </w:t>
            </w:r>
          </w:p>
        </w:tc>
      </w:tr>
      <w:tr w:rsidR="008B6C17" w:rsidRPr="007F425D">
        <w:trPr>
          <w:cantSplit/>
          <w:trHeight w:val="20"/>
          <w:tblHeader/>
        </w:trPr>
        <w:tc>
          <w:tcPr>
            <w:tcW w:w="3536" w:type="dxa"/>
            <w:vMerge/>
            <w:tcBorders>
              <w:top w:val="single" w:sz="8" w:space="0" w:color="auto"/>
              <w:left w:val="single" w:sz="8" w:space="0" w:color="auto"/>
              <w:bottom w:val="single" w:sz="8" w:space="0" w:color="000000"/>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p>
        </w:tc>
        <w:tc>
          <w:tcPr>
            <w:tcW w:w="1227" w:type="dxa"/>
            <w:vMerge/>
            <w:tcBorders>
              <w:top w:val="single" w:sz="8" w:space="0" w:color="auto"/>
              <w:left w:val="single" w:sz="4" w:space="0" w:color="auto"/>
              <w:bottom w:val="single" w:sz="8" w:space="0" w:color="000000"/>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p>
        </w:tc>
        <w:tc>
          <w:tcPr>
            <w:tcW w:w="1953" w:type="dxa"/>
            <w:tcBorders>
              <w:top w:val="single" w:sz="4" w:space="0" w:color="auto"/>
              <w:left w:val="nil"/>
              <w:bottom w:val="single" w:sz="8" w:space="0" w:color="auto"/>
              <w:right w:val="single" w:sz="4"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2-3-этажный </w:t>
            </w:r>
          </w:p>
        </w:tc>
        <w:tc>
          <w:tcPr>
            <w:tcW w:w="1717" w:type="dxa"/>
            <w:tcBorders>
              <w:top w:val="single" w:sz="4" w:space="0" w:color="auto"/>
              <w:left w:val="nil"/>
              <w:bottom w:val="single" w:sz="8" w:space="0" w:color="auto"/>
              <w:right w:val="single" w:sz="8" w:space="0" w:color="auto"/>
            </w:tcBorders>
            <w:vAlign w:val="center"/>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индивидуальный </w:t>
            </w:r>
          </w:p>
        </w:tc>
      </w:tr>
      <w:tr w:rsidR="008B6C17" w:rsidRPr="007F425D">
        <w:trPr>
          <w:trHeight w:val="20"/>
        </w:trPr>
        <w:tc>
          <w:tcPr>
            <w:tcW w:w="3536" w:type="dxa"/>
            <w:tcBorders>
              <w:top w:val="single" w:sz="8" w:space="0" w:color="auto"/>
              <w:left w:val="single" w:sz="8" w:space="0" w:color="auto"/>
              <w:bottom w:val="nil"/>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Всего по городу Волчанску</w:t>
            </w:r>
          </w:p>
        </w:tc>
        <w:tc>
          <w:tcPr>
            <w:tcW w:w="1227" w:type="dxa"/>
            <w:tcBorders>
              <w:top w:val="single" w:sz="8" w:space="0" w:color="auto"/>
              <w:left w:val="single" w:sz="4" w:space="0" w:color="auto"/>
              <w:bottom w:val="nil"/>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c>
          <w:tcPr>
            <w:tcW w:w="1953" w:type="dxa"/>
            <w:tcBorders>
              <w:top w:val="single" w:sz="8" w:space="0" w:color="auto"/>
              <w:left w:val="single" w:sz="4" w:space="0" w:color="auto"/>
              <w:bottom w:val="nil"/>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c>
          <w:tcPr>
            <w:tcW w:w="1717" w:type="dxa"/>
            <w:tcBorders>
              <w:top w:val="single" w:sz="8" w:space="0" w:color="auto"/>
              <w:left w:val="single" w:sz="4" w:space="0" w:color="auto"/>
              <w:bottom w:val="nil"/>
              <w:right w:val="single" w:sz="8" w:space="0" w:color="000000"/>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r>
      <w:tr w:rsidR="008B6C17" w:rsidRPr="007F425D">
        <w:trPr>
          <w:trHeight w:val="20"/>
        </w:trPr>
        <w:tc>
          <w:tcPr>
            <w:tcW w:w="3536" w:type="dxa"/>
            <w:tcBorders>
              <w:top w:val="single" w:sz="8"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 Жилищный фонд,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single" w:sz="8"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368,5</w:t>
            </w:r>
          </w:p>
        </w:tc>
        <w:tc>
          <w:tcPr>
            <w:tcW w:w="1953" w:type="dxa"/>
            <w:tcBorders>
              <w:top w:val="single" w:sz="8"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218,7</w:t>
            </w:r>
          </w:p>
        </w:tc>
        <w:tc>
          <w:tcPr>
            <w:tcW w:w="1717" w:type="dxa"/>
            <w:tcBorders>
              <w:top w:val="single" w:sz="8"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149,8</w:t>
            </w: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 Население, тыс. человек</w:t>
            </w:r>
          </w:p>
        </w:tc>
        <w:tc>
          <w:tcPr>
            <w:tcW w:w="1227"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10,5</w:t>
            </w: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 Новое жилищное строительство,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114,0</w:t>
            </w:r>
          </w:p>
          <w:p w:rsidR="008B6C17" w:rsidRPr="007F425D" w:rsidRDefault="008B6C17" w:rsidP="007F425D">
            <w:pPr>
              <w:spacing w:after="0" w:line="240" w:lineRule="auto"/>
              <w:jc w:val="both"/>
              <w:rPr>
                <w:rFonts w:ascii="Times New Roman" w:hAnsi="Times New Roman" w:cs="Times New Roman"/>
                <w:sz w:val="24"/>
                <w:szCs w:val="24"/>
              </w:rPr>
            </w:pP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39,9</w:t>
            </w:r>
          </w:p>
          <w:p w:rsidR="008B6C17" w:rsidRPr="007F425D" w:rsidRDefault="008B6C17" w:rsidP="007F425D">
            <w:pPr>
              <w:spacing w:after="0" w:line="240" w:lineRule="auto"/>
              <w:jc w:val="both"/>
              <w:rPr>
                <w:rFonts w:ascii="Times New Roman" w:hAnsi="Times New Roman" w:cs="Times New Roman"/>
                <w:sz w:val="24"/>
                <w:szCs w:val="24"/>
              </w:rPr>
            </w:pP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74,1</w:t>
            </w:r>
          </w:p>
          <w:p w:rsidR="008B6C17" w:rsidRPr="007F425D" w:rsidRDefault="008B6C17" w:rsidP="007F425D">
            <w:pPr>
              <w:spacing w:after="0" w:line="240" w:lineRule="auto"/>
              <w:jc w:val="both"/>
              <w:rPr>
                <w:rFonts w:ascii="Times New Roman" w:hAnsi="Times New Roman" w:cs="Times New Roman"/>
                <w:sz w:val="24"/>
                <w:szCs w:val="24"/>
              </w:rPr>
            </w:pP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 Количество участков в новой</w:t>
            </w:r>
            <w:r w:rsidRPr="007F425D">
              <w:rPr>
                <w:rFonts w:ascii="Times New Roman" w:hAnsi="Times New Roman" w:cs="Times New Roman"/>
                <w:sz w:val="24"/>
                <w:szCs w:val="24"/>
              </w:rPr>
              <w:br/>
              <w:t>индивидуальной застройке</w:t>
            </w:r>
          </w:p>
        </w:tc>
        <w:tc>
          <w:tcPr>
            <w:tcW w:w="1227"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741</w:t>
            </w: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741</w:t>
            </w: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 Существующий  сохраняемый</w:t>
            </w:r>
            <w:r w:rsidRPr="007F425D">
              <w:rPr>
                <w:rFonts w:ascii="Times New Roman" w:hAnsi="Times New Roman" w:cs="Times New Roman"/>
                <w:sz w:val="24"/>
                <w:szCs w:val="24"/>
              </w:rPr>
              <w:br/>
              <w:t>жилищный фонд,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254,4</w:t>
            </w: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178,7</w:t>
            </w: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75,7</w:t>
            </w: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 Убыль жилищного фонда,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nil"/>
              <w:left w:val="nil"/>
              <w:bottom w:val="single" w:sz="4" w:space="0" w:color="auto"/>
              <w:right w:val="single" w:sz="4" w:space="0" w:color="auto"/>
            </w:tcBorders>
            <w:shd w:val="clear" w:color="auto" w:fill="FFFFFF"/>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28,4</w:t>
            </w: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20,3</w:t>
            </w: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8,1</w:t>
            </w:r>
          </w:p>
        </w:tc>
      </w:tr>
      <w:tr w:rsidR="008B6C17" w:rsidRPr="007F425D">
        <w:trPr>
          <w:trHeight w:val="20"/>
        </w:trPr>
        <w:tc>
          <w:tcPr>
            <w:tcW w:w="3536" w:type="dxa"/>
            <w:tcBorders>
              <w:top w:val="nil"/>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 Жилищный фонд на исходный год,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282,9</w:t>
            </w:r>
          </w:p>
        </w:tc>
        <w:tc>
          <w:tcPr>
            <w:tcW w:w="1953" w:type="dxa"/>
            <w:tcBorders>
              <w:top w:val="nil"/>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199,1</w:t>
            </w:r>
          </w:p>
        </w:tc>
        <w:tc>
          <w:tcPr>
            <w:tcW w:w="1717" w:type="dxa"/>
            <w:tcBorders>
              <w:top w:val="nil"/>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83,8</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Всего, п. Вьюжный</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b/>
                <w:bCs/>
                <w:sz w:val="24"/>
                <w:szCs w:val="24"/>
              </w:rPr>
            </w:pP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 Жилищный фонд,  тыс. м</w:t>
            </w:r>
            <w:r w:rsidRPr="007F425D">
              <w:rPr>
                <w:rFonts w:ascii="Times New Roman" w:hAnsi="Times New Roman" w:cs="Times New Roman"/>
                <w:sz w:val="24"/>
                <w:szCs w:val="24"/>
                <w:vertAlign w:val="superscript"/>
              </w:rPr>
              <w:t xml:space="preserve">2 </w:t>
            </w:r>
            <w:r w:rsidRPr="007F425D">
              <w:rPr>
                <w:rFonts w:ascii="Times New Roman" w:hAnsi="Times New Roman" w:cs="Times New Roman"/>
                <w:sz w:val="24"/>
                <w:szCs w:val="24"/>
              </w:rPr>
              <w:t xml:space="preserve"> общей площади</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2,73</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8,67</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 Население, тыс. человек</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0,35</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0,09</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0,26</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 Новое жилищное строительство,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6,38</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6,38</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 Количество участков в новой застройке</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 Существующий  сохраняемый жилищный фонд, тыс. м</w:t>
            </w:r>
            <w:r w:rsidRPr="007F425D">
              <w:rPr>
                <w:rFonts w:ascii="Times New Roman" w:hAnsi="Times New Roman" w:cs="Times New Roman"/>
                <w:sz w:val="24"/>
                <w:szCs w:val="24"/>
                <w:vertAlign w:val="superscript"/>
              </w:rPr>
              <w:t xml:space="preserve">2 </w:t>
            </w:r>
            <w:r w:rsidRPr="007F425D">
              <w:rPr>
                <w:rFonts w:ascii="Times New Roman" w:hAnsi="Times New Roman" w:cs="Times New Roman"/>
                <w:sz w:val="24"/>
                <w:szCs w:val="24"/>
              </w:rPr>
              <w:t>общей площади</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5,02</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2,73</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2,29</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 Убыль жилищного фонда,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trHeight w:val="20"/>
        </w:trPr>
        <w:tc>
          <w:tcPr>
            <w:tcW w:w="3536" w:type="dxa"/>
            <w:tcBorders>
              <w:top w:val="single" w:sz="4" w:space="0" w:color="auto"/>
              <w:left w:val="single" w:sz="8" w:space="0" w:color="auto"/>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 Жилищный фонд на исходный год, тыс. м</w:t>
            </w:r>
            <w:r w:rsidRPr="007F425D">
              <w:rPr>
                <w:rFonts w:ascii="Times New Roman" w:hAnsi="Times New Roman" w:cs="Times New Roman"/>
                <w:sz w:val="24"/>
                <w:szCs w:val="24"/>
                <w:vertAlign w:val="superscript"/>
              </w:rPr>
              <w:t>2</w:t>
            </w:r>
            <w:r w:rsidRPr="007F425D">
              <w:rPr>
                <w:rFonts w:ascii="Times New Roman" w:hAnsi="Times New Roman" w:cs="Times New Roman"/>
                <w:sz w:val="24"/>
                <w:szCs w:val="24"/>
              </w:rPr>
              <w:t xml:space="preserve">  общей площади</w:t>
            </w:r>
          </w:p>
        </w:tc>
        <w:tc>
          <w:tcPr>
            <w:tcW w:w="1227"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5,02</w:t>
            </w:r>
          </w:p>
        </w:tc>
        <w:tc>
          <w:tcPr>
            <w:tcW w:w="1953" w:type="dxa"/>
            <w:tcBorders>
              <w:top w:val="single" w:sz="4" w:space="0" w:color="auto"/>
              <w:left w:val="nil"/>
              <w:bottom w:val="single" w:sz="4" w:space="0" w:color="auto"/>
              <w:right w:val="single" w:sz="4"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2,73</w:t>
            </w:r>
          </w:p>
        </w:tc>
        <w:tc>
          <w:tcPr>
            <w:tcW w:w="1717" w:type="dxa"/>
            <w:tcBorders>
              <w:top w:val="single" w:sz="4" w:space="0" w:color="auto"/>
              <w:left w:val="nil"/>
              <w:bottom w:val="single" w:sz="4" w:space="0" w:color="auto"/>
              <w:right w:val="single" w:sz="8" w:space="0" w:color="auto"/>
            </w:tcBorders>
            <w:vAlign w:val="bottom"/>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2,29</w:t>
            </w:r>
          </w:p>
        </w:tc>
      </w:tr>
    </w:tbl>
    <w:p w:rsidR="008B6C17" w:rsidRPr="007F425D" w:rsidRDefault="008B6C17" w:rsidP="007F425D">
      <w:pPr>
        <w:pStyle w:val="PlainText"/>
        <w:tabs>
          <w:tab w:val="left" w:pos="1080"/>
        </w:tabs>
        <w:spacing w:line="240" w:lineRule="auto"/>
        <w:ind w:firstLine="720"/>
        <w:jc w:val="both"/>
        <w:rPr>
          <w:rFonts w:ascii="Times New Roman" w:hAnsi="Times New Roman" w:cs="Times New Roman"/>
          <w:b/>
          <w:bCs/>
          <w:sz w:val="24"/>
          <w:szCs w:val="24"/>
        </w:rPr>
      </w:pPr>
    </w:p>
    <w:p w:rsidR="008B6C17" w:rsidRPr="007F425D" w:rsidRDefault="008B6C17" w:rsidP="007F425D">
      <w:pPr>
        <w:spacing w:after="0" w:line="240" w:lineRule="auto"/>
        <w:ind w:firstLine="709"/>
        <w:jc w:val="both"/>
        <w:rPr>
          <w:rFonts w:ascii="Times New Roman" w:hAnsi="Times New Roman" w:cs="Times New Roman"/>
          <w:sz w:val="24"/>
          <w:szCs w:val="24"/>
        </w:rPr>
      </w:pPr>
      <w:r w:rsidRPr="007F425D">
        <w:rPr>
          <w:rFonts w:ascii="Times New Roman" w:hAnsi="Times New Roman" w:cs="Times New Roman"/>
          <w:sz w:val="24"/>
          <w:szCs w:val="24"/>
        </w:rPr>
        <w:t xml:space="preserve"> </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caps/>
          <w:sz w:val="28"/>
          <w:szCs w:val="28"/>
        </w:rPr>
      </w:pPr>
      <w:r w:rsidRPr="007F425D">
        <w:rPr>
          <w:rFonts w:ascii="Times New Roman" w:hAnsi="Times New Roman" w:cs="Times New Roman"/>
          <w:caps/>
          <w:sz w:val="28"/>
          <w:szCs w:val="28"/>
        </w:rPr>
        <w:t>Раздел 3 Целевые показатели развития коммунальной инфраструктуры</w:t>
      </w:r>
    </w:p>
    <w:p w:rsidR="008B6C17" w:rsidRPr="007F425D" w:rsidRDefault="008B6C17" w:rsidP="007F425D">
      <w:pPr>
        <w:spacing w:after="0" w:line="240" w:lineRule="auto"/>
        <w:ind w:firstLine="601"/>
        <w:jc w:val="center"/>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Критерии доступности коммунальных услуг для населения в среднем по Волчанскому округу представлены в таблице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Таблица  8 УРОВНИ ДОСТУПНОСТИ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8"/>
          <w:szCs w:val="28"/>
        </w:rPr>
        <w:t>КОММУНАЛЬНЫХ УСЛУГ ДЛЯ НАСЕЛЕНИЯ</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435"/>
        <w:gridCol w:w="7313"/>
        <w:gridCol w:w="1814"/>
      </w:tblGrid>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критерия</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доступности:</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расходов на коммунальные услуги в совокупном доходе семьи,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населения с доходами ниже прожиточного минимума,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собираемости платежей за коммунальные услуги,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87,5</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731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Доля получателей субсидий на оплату коммунальных услуг в общей численности населения, %</w:t>
            </w:r>
          </w:p>
        </w:tc>
        <w:tc>
          <w:tcPr>
            <w:tcW w:w="181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Вышеуказанные данные представлены по всем видам коммунальных услуг. Значение критериев позволяет сказать, что уровень доступности коммунальных услуг на территории Волчанского городского округа можно охарактеризовать как «высокий». Целевые показатели развития коммунальной инфраструктуры, достижение которых планируется при реализации программы комплексного развития систем коммунальной инфраструктуры, представлены в приложении № 1</w:t>
      </w:r>
    </w:p>
    <w:p w:rsidR="008B6C17" w:rsidRPr="007F425D" w:rsidRDefault="008B6C17" w:rsidP="007F425D">
      <w:pPr>
        <w:spacing w:after="0" w:line="240" w:lineRule="auto"/>
        <w:ind w:firstLine="601"/>
        <w:jc w:val="both"/>
        <w:rPr>
          <w:rFonts w:ascii="Times New Roman" w:hAnsi="Times New Roman" w:cs="Times New Roman"/>
          <w:sz w:val="24"/>
          <w:szCs w:val="24"/>
        </w:rPr>
        <w:sectPr w:rsidR="008B6C17" w:rsidRPr="007F425D" w:rsidSect="00495D10">
          <w:pgSz w:w="11906" w:h="16838"/>
          <w:pgMar w:top="794" w:right="851" w:bottom="851" w:left="1418" w:header="709" w:footer="709" w:gutter="0"/>
          <w:cols w:space="708"/>
          <w:docGrid w:linePitch="360"/>
        </w:sectPr>
      </w:pPr>
    </w:p>
    <w:p w:rsidR="008B6C17" w:rsidRPr="007F425D" w:rsidRDefault="008B6C17" w:rsidP="007F425D">
      <w:pPr>
        <w:pStyle w:val="Heading1"/>
        <w:tabs>
          <w:tab w:val="left" w:pos="9072"/>
          <w:tab w:val="left" w:pos="10773"/>
          <w:tab w:val="left" w:pos="11624"/>
        </w:tabs>
        <w:spacing w:line="240" w:lineRule="auto"/>
        <w:ind w:firstLine="540"/>
        <w:jc w:val="both"/>
        <w:rPr>
          <w:color w:val="auto"/>
        </w:rPr>
      </w:pPr>
      <w:r w:rsidRPr="007F425D">
        <w:rPr>
          <w:color w:val="auto"/>
          <w:sz w:val="24"/>
          <w:szCs w:val="24"/>
        </w:rPr>
        <w:tab/>
      </w:r>
      <w:r w:rsidRPr="007F425D">
        <w:rPr>
          <w:color w:val="auto"/>
        </w:rPr>
        <w:t>Приложение № 1</w:t>
      </w:r>
    </w:p>
    <w:p w:rsidR="008B6C17" w:rsidRPr="007F425D" w:rsidRDefault="008B6C17" w:rsidP="007F425D">
      <w:pPr>
        <w:pStyle w:val="Heading1"/>
        <w:tabs>
          <w:tab w:val="left" w:pos="8789"/>
          <w:tab w:val="left" w:pos="9072"/>
          <w:tab w:val="left" w:pos="10773"/>
          <w:tab w:val="left" w:pos="11624"/>
        </w:tabs>
        <w:spacing w:line="240" w:lineRule="auto"/>
        <w:ind w:left="9072"/>
        <w:jc w:val="both"/>
        <w:rPr>
          <w:color w:val="auto"/>
        </w:rPr>
      </w:pPr>
      <w:r w:rsidRPr="007F425D">
        <w:rPr>
          <w:color w:val="auto"/>
        </w:rPr>
        <w:t>к программе «Комплексное развитие систем коммунальной инфраструктуры Волчанского городского округа до 2030 года</w:t>
      </w:r>
    </w:p>
    <w:p w:rsidR="008B6C17" w:rsidRPr="007F425D" w:rsidRDefault="008B6C17" w:rsidP="007F425D">
      <w:pPr>
        <w:spacing w:line="240" w:lineRule="auto"/>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 xml:space="preserve">ЦЕЛИ, ЗАДАЧИ И </w:t>
      </w:r>
      <w:hyperlink r:id="rId19" w:history="1">
        <w:r w:rsidRPr="007F425D">
          <w:rPr>
            <w:rFonts w:ascii="Times New Roman" w:hAnsi="Times New Roman" w:cs="Times New Roman"/>
            <w:b/>
            <w:bCs/>
            <w:sz w:val="28"/>
            <w:szCs w:val="28"/>
          </w:rPr>
          <w:t>ЦЕЛЕВЫЕ ПОКАЗАТЕЛИ</w:t>
        </w:r>
      </w:hyperlink>
      <w:r w:rsidRPr="007F425D">
        <w:rPr>
          <w:rFonts w:ascii="Times New Roman" w:hAnsi="Times New Roman" w:cs="Times New Roman"/>
          <w:sz w:val="28"/>
          <w:szCs w:val="28"/>
        </w:rPr>
        <w:t xml:space="preserve"> </w:t>
      </w:r>
      <w:r w:rsidRPr="007F425D">
        <w:rPr>
          <w:rFonts w:ascii="Times New Roman" w:hAnsi="Times New Roman" w:cs="Times New Roman"/>
          <w:b/>
          <w:bCs/>
          <w:sz w:val="28"/>
          <w:szCs w:val="28"/>
        </w:rPr>
        <w:t>РЕАЛИЗАЦИИ ПРОГРАММЫ «КОМПЛЕКСНОЕ РАЗВИТИЕ СИСТЕМ КОММУНАЛЬНОЙ ИНФРАСТРУКТУРЫ ВОЛЧАНСКОГО ГОРОДСКОГО ОКРУГА ДО 2030 ГОДА»</w:t>
      </w:r>
    </w:p>
    <w:p w:rsidR="008B6C17" w:rsidRPr="007F425D" w:rsidRDefault="008B6C17" w:rsidP="007F425D">
      <w:pPr>
        <w:spacing w:line="240" w:lineRule="auto"/>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549"/>
        <w:gridCol w:w="3175"/>
        <w:gridCol w:w="1191"/>
        <w:gridCol w:w="1928"/>
        <w:gridCol w:w="2665"/>
      </w:tblGrid>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п/п</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Целевой индикатор</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 изм.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Значение индикатора до реализации программы</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Изменение</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1.</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ТЕПЛОСНАБЖЕНИЯ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теплоснабжения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потерь</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30%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теплоснабжения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более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13,4 (4 км)</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более  чем 25%</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2.</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ВОДОСНАБЖЕНИЯ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водоснабжения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0,004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Уровень потерь</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30%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водоснабжения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29,5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25%</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3.</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ВОДООТВЕДЕНИЯ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водоотведения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0,005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системы водоотведения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33,2</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4.</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ЭЛЕКТРОСНАБЖЕНИЯ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электроснабжения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сетей электроснабжения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Удельный вес сетей, нуждающихся в замене</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5.</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ГАЗОСНАБЖЕНИЯ</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Аварийность системы газоснабжения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ед./км</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снижение до 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Износ сетей газоснабжения</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1,98</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уменьшение не менее  чем 10%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6.</w:t>
            </w:r>
          </w:p>
        </w:tc>
        <w:tc>
          <w:tcPr>
            <w:tcW w:w="8959"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НАДЕЖНОСТЬ (БЕСПЕРЕБОЙНОСТЬ) И КАЧЕСТВО СНАБЖЕНИЯ ПОТРЕБИТЕЛЕЙ УСЛУГОЙ УТИЛИЗАЦИИ ТБО</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Количество несанкционированных свалок</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ед.</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сокращение до 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Общая мощность полигонов по утилизации (захоронению) ТБО</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м2</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 Га</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сохранение на прежнем уровне</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1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Объем принимаемых твердых бытовых отходов на объектах, используемых для утилизации (захоронения) ТБО</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Тыс. м3 / год</w:t>
            </w:r>
          </w:p>
        </w:tc>
        <w:tc>
          <w:tcPr>
            <w:tcW w:w="19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18,26</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сохранение на прежнем уровне</w:t>
            </w:r>
          </w:p>
        </w:tc>
      </w:tr>
    </w:tbl>
    <w:p w:rsidR="008B6C17" w:rsidRPr="007F425D" w:rsidRDefault="008B6C17" w:rsidP="007F425D">
      <w:pPr>
        <w:spacing w:after="0" w:line="240" w:lineRule="auto"/>
        <w:ind w:firstLine="709"/>
        <w:jc w:val="both"/>
        <w:rPr>
          <w:rFonts w:ascii="Times New Roman" w:hAnsi="Times New Roman" w:cs="Times New Roman"/>
          <w:caps/>
          <w:sz w:val="24"/>
          <w:szCs w:val="24"/>
        </w:rPr>
        <w:sectPr w:rsidR="008B6C17" w:rsidRPr="007F425D" w:rsidSect="00495D10">
          <w:pgSz w:w="16838" w:h="11906" w:orient="landscape"/>
          <w:pgMar w:top="851" w:right="851" w:bottom="851" w:left="1418" w:header="709" w:footer="709" w:gutter="0"/>
          <w:cols w:space="708"/>
          <w:docGrid w:linePitch="360"/>
        </w:sectPr>
      </w:pPr>
      <w:r w:rsidRPr="007F425D">
        <w:rPr>
          <w:rFonts w:ascii="Times New Roman" w:hAnsi="Times New Roman" w:cs="Times New Roman"/>
          <w:sz w:val="24"/>
          <w:szCs w:val="24"/>
        </w:rPr>
        <w:tab/>
      </w: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РАЗДЕЛ 4 ХАРАКТЕРИСТИКА СОСТОЯНИЯ И ПРОБЛЕМ</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КОММУНАЛЬНОЙ ИНФРАСТРУКТУРЫ</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Жилищный фонд и объекты коммунальной инфраструктуры находятся в изношенном состоянии. Нормативный срок отслужили более 70 процентов основных фондов жилищно-коммунального хозяйства.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По данным предприятий жилищно-коммунального комплекса Волчанского городского округа, физический износ основных фондов систем теплоснабжения составляет 60 процентов, водоснабжения - 70 процентов, водоотведения - 75 процентов. В результате этого износа потери коммунальных ресурсов, которые оплачивают потребители, в системах водоснабжения составляют более 30 процентов, в системах теплоснабжения - до 20 процентов.</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Износ жилищного фонда составляет более 70 процентов, что в свою очередь приводит к увеличению затрат на его содержание. За период с 2009 по 2013 год ветхий и аварийный жилищный фонд увеличился более чем на 46 процентов, в том числе аварийный жилищный фонд - в 1,9 раза.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bookmarkStart w:id="17" w:name="Par10544"/>
      <w:bookmarkEnd w:id="17"/>
      <w:r w:rsidRPr="007F425D">
        <w:rPr>
          <w:rFonts w:ascii="Times New Roman" w:hAnsi="Times New Roman" w:cs="Times New Roman"/>
          <w:sz w:val="28"/>
          <w:szCs w:val="28"/>
        </w:rPr>
        <w:t>4.1. СИСТЕМА ТЕПЛОСНАБЖЕНИЯ</w:t>
      </w:r>
    </w:p>
    <w:p w:rsidR="008B6C17" w:rsidRPr="007F425D" w:rsidRDefault="008B6C17" w:rsidP="007F425D">
      <w:pPr>
        <w:pStyle w:val="Default"/>
        <w:ind w:firstLine="709"/>
        <w:jc w:val="both"/>
        <w:rPr>
          <w:sz w:val="28"/>
          <w:szCs w:val="28"/>
        </w:rPr>
      </w:pPr>
      <w:r w:rsidRPr="007F425D">
        <w:rPr>
          <w:sz w:val="28"/>
          <w:szCs w:val="28"/>
        </w:rPr>
        <w:t xml:space="preserve">Волчанский городской округ включает в себя три изолированных системы централизованного теплоснабжения, а именно системы теплоснабжения северной, южной части города Волчанска и поселка Вьюжный. </w:t>
      </w:r>
    </w:p>
    <w:p w:rsidR="008B6C17" w:rsidRPr="007F425D" w:rsidRDefault="008B6C17" w:rsidP="007F425D">
      <w:pPr>
        <w:pStyle w:val="Default"/>
        <w:ind w:firstLine="709"/>
        <w:jc w:val="both"/>
        <w:rPr>
          <w:sz w:val="28"/>
          <w:szCs w:val="28"/>
        </w:rPr>
      </w:pPr>
      <w:r w:rsidRPr="007F425D">
        <w:rPr>
          <w:sz w:val="28"/>
          <w:szCs w:val="28"/>
        </w:rPr>
        <w:t xml:space="preserve">Источником теплоснабжения северной части г. Волчанска является ведомственная котельная Волчанского механического завода филиала АО "НПК "Уралвагонзавод" (далее – Котельная ВМЗ). Котельная расположена в производственной зоне Волчанского механического завода и обеспечивает производство и транспорт тепла по тепловым сетям для собственных производственных нужд и теплоснабжения северной части города Волчанска. Передачу от производственных тепловых сетей до потребителей соцкультбыта, жилого фонда и прочих потребителей осуществляет ООО «Север». На границе балансовой принадлежности располагается центральный тепловой пункт (ЦТП), находящийся в аренде ООО «Север». </w:t>
      </w:r>
    </w:p>
    <w:p w:rsidR="008B6C17" w:rsidRPr="007F425D" w:rsidRDefault="008B6C17" w:rsidP="007F425D">
      <w:pPr>
        <w:pStyle w:val="Default"/>
        <w:jc w:val="both"/>
        <w:rPr>
          <w:sz w:val="28"/>
          <w:szCs w:val="28"/>
        </w:rPr>
      </w:pPr>
      <w:r w:rsidRPr="007F425D">
        <w:rPr>
          <w:sz w:val="28"/>
          <w:szCs w:val="28"/>
        </w:rPr>
        <w:t>Теплоснабжение южной части г. Волчанска и пос. Вьюжный осуществляет МУП «Волчанский теплоэнергетический комплекс» (МУП «ВТЭК»). Котельные и тепловые сети находятся в хозяйственном ведении МУП «ВТЭК». Также на территории пос. Вьюжный функционирует ведомственная котельная ОАО «Волчанское», вырабатывающая тепловую энергию на отопление производственных помещений и объектов соцкультбыта поселка.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Частный жилой фонд использует для собственных нужд индивидуальные источники тепловой энергии. На территории городского округа действуют две ведомственные котельные: котельная ВМЗ и ОАО «Волчанское».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южной части города Волчанска преобладает малоэтажная и индивидуальная частная застройка. В северной части города расположена большая часть многоквартирных домов. Застройка и расселение города Волчанска обусловлено историческими особенностями города.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источники комбинированной выработки тепловой и электрической энергии отсутствуют.</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южной части города</w:t>
      </w:r>
    </w:p>
    <w:p w:rsidR="008B6C17" w:rsidRPr="007F425D" w:rsidRDefault="008B6C17" w:rsidP="007F425D">
      <w:pPr>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Котельная МУП «Волчанский теплоэнергетический комплекс», г.Волчанск.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Котельная расположена по адресу г. Волчанск, ул. Физкультурная, 19. Эксплуатацию котельной осуществляет МУП «ВТЭК».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Котельная МУП «ВТЭК» запущена в эксплуатацию в марте 1991 года. Установленная тепловая мощность, согласно предоставленным данным составляет 29,19 Гкал/ч. Ограничения по использованию мощности отсутствуют.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Основным топливом для котельной служит природный газ. ГРУ располагается в здании котельной. В качестве аварийного топлива предусмотрено дизельное топливо.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котельной расположено 3 паровых котла ДЕ16-14ГМ. Мощность каждого котла составляет 9,73 Гкал/ч. На трубной части котлов №1 и №2 проведены капитальные ремонты. Согласно проведенной экспертизе промышленной безопасности разрешена эксплуатация котлов до 2017 года с последующим освидетельствованием. Котлы №1 и №2 находятся в исправном состоянии. Котел № 3 прошел модернизацию и находится на стадии промышленной экспертизы. Регламентные работы проводятся согласно графикам и выполняются в полном объеме.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Источником водоснабжения котельной является артезианская скважина, резервный источник - городской водопровод. Система химводоочистки котельной двухступенчатое Na-катионирование. В котельной установлены два деаэратора, фильтры первой ступени и фильтры второй ступени Na-катионирования. Регенерация фильтров проводится раствором NaCl (соль).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выходе из котлов пар температурой 170С поступает на пароводяные теплообменные аппараты. В котельной установлены 4 водоподогревателя двух модификаций: ПП1-53-7-II и ПВ1 273x4-г-1,0-2. Теплоноситель (горячая вода) используется в тепловой сети Южной части города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Схема теплоснабжения независимая с теплообменником на котельной, закрытая. Горячее водоснабжение организовано отдельным контуром.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Температурный график работы котельной – 95/70°С.</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Потребителей, получающих тепловую энергию с коллекторов котельной – нет.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котельной организован учет газа, электрической энергии и воды. Узел учета тепловой энергии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Информация по отказам и авариям на котельной МУП «ВТЭК» отсутствует.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 котельной проложено 12994,7 м тепловых сетей и 500 м сетей ГВС в двухтрубном исчислении. Изоляция трубопроводов выполнена минеральной ватой, частично ППУ. В некоторых местах изоляция нарушена, либо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Источником тепловой энергии южной части города Волчанска является котельная МУП «ВТЭК». Тепловые сети и сети ГВС от котельной числится на балансе Администрации Волчанского городского округа, и находятся в ведении МУП «ВТЭК». На момент актуализации схемы теплоснабжения бесхозяйственных сетей в южной части города не числится. По данным МУП «ВТЭК» потери через изоляцию в сетях от ЦТП составляют 8,6%.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 системе теплоснабжения южной части города Волчанска подключены объекты жилого фонда, СКБ и прочие юридические лица. Общая протяженность тепловых сетей южной части города Волчанска составляет 12994,7 м в двухтрубном исчислении. Протяженность сетей ГВС составляет 500 м в двухтрубном исчислении.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Большинство труб проложено подземным канальным способом. Тепловая изоляция на надземных трубопроводах выполнена минеральной ватой, частично – изолоном ППЭ фольгированным с покровным слоем из рубероида, стеклоткани и кровельного железа. Тепловая изоляция на подземных трубопроводах выполнена минеральной ватой, частично – изолоном ППЭ фольгированным с покровным слоем из рубероида. На подземных трубопроводах наблюдается уплотнение изоляции, сползание, увлажнение изоляции, вызванные периодическим затоплением дождевыми и паводковыми водами.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и сетей ГВС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Узлы коммерческого учета тепловой энергии и ГВС установлены у потребителей. Преимущественно УКУТЭ установлены у потребителей бюджетной сферы. Информации об авариях, отказах в системе централизованного теплоснабжения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hd w:val="clear" w:color="auto" w:fill="FFFFFF"/>
        <w:spacing w:after="0" w:line="240" w:lineRule="auto"/>
        <w:ind w:right="-95"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поселка «Вьюжный»</w:t>
      </w:r>
    </w:p>
    <w:p w:rsidR="008B6C17" w:rsidRPr="007F425D" w:rsidRDefault="008B6C17" w:rsidP="007F425D">
      <w:pPr>
        <w:shd w:val="clear" w:color="auto" w:fill="FFFFFF"/>
        <w:spacing w:after="0" w:line="240" w:lineRule="auto"/>
        <w:ind w:right="-95"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Котельная МУП «Волчанский теплоэнергетический комплекс», п. Вьюжный.</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Поселок Вьюжный расположен в 3 км к северу от города Волчанска. Котельная МУП «ВТЭК» является муниципальной и расположена по адресу: п. Вьюжный, ул. Западная. Запуск котельной осуществлен в 1971 году.</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Основным топливом для котельной служит бурый уголь. В качестве резервного топлива используются дрова. В связи с закрытием Волчанского угольного разреза котельная преимущественно работает на дровах.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расположены три водогрейных котла: КВСа/КВСр-1,0 ГС/0,8К» Луга-Бм», КВр-0,63КД и КВр-1,44КД. Установленная мощность котельной составляет 2,48 Гкал/ч. Водогрейные котлы используются исключительно для нужд теплоснабжения.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Потери котельной на собственные нужды составляют 2,6%, потери через изоляцию тепловых сетей – 11,8%. Ограничения по использованию мощности отсутствуют.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Вода для нужд котельной используется из собственной скважины, резервный источник – центральный водопровод п. Вьюжный. Водоподготовка исходной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Схема теплоснабжения зависимая, закрытая, теплообменное оборудование отсутствует. Горячее водоснабжение отсутствует.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Температурный график работы котельной аналогичен температурному графику котельной МУП «ВТЭК» г. Волчанска – 95/70°С.</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В котельной установлены счетчики воды и электрической энергии. Учет тепловой энергии не осуществляется.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Информация по отказам и авариям на котельной МУП «ВТЭК» п. Вьюжный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От котельной проложено 1269 м тепловых сетей в двухтрубном исчислении. Изоляция трубопроводов выполнена минеральной ватой. В некоторых местах изоляция нарушена, либо отсутствует.</w:t>
      </w:r>
    </w:p>
    <w:p w:rsidR="008B6C17" w:rsidRPr="007F425D" w:rsidRDefault="008B6C17" w:rsidP="007F425D">
      <w:pPr>
        <w:pStyle w:val="BodyTextIndent"/>
        <w:ind w:firstLine="709"/>
        <w:jc w:val="both"/>
        <w:rPr>
          <w:rFonts w:ascii="Times New Roman" w:hAnsi="Times New Roman" w:cs="Times New Roman"/>
          <w:b/>
          <w:bCs/>
        </w:rPr>
      </w:pPr>
      <w:r w:rsidRPr="007F425D">
        <w:rPr>
          <w:rFonts w:ascii="Times New Roman" w:hAnsi="Times New Roman" w:cs="Times New Roman"/>
          <w:b/>
          <w:bCs/>
        </w:rPr>
        <w:t>Котельная ОАО «Волчанское», п. Вьюжный.</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Котельная ОАО «Волчанское» является ведомственной и расположена в юго-восточной части п. Вьюжный. Запуск котельной в эксплуатацию осуществлен в 1978 году.</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Основным топливом для котельной служит бурый уголь. В качестве резервного топлива используются дрова. В связи с низким качеством угля и закрытием Волчанского угольного разреза котельная работает на дровах.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расположены два водогрейных котла марки Энергия-3. Установленная мощность котельной составляет 0,508 Гкал/ч. Водогрейные котлы используются для нужд теплоснабжения производственных объектов, магазина и дома культуры.</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Потери котельной на собственные нужды составляют 2%, потери через изоляцию тепловых сетей – 6%. Ограничения по использованию мощности отсутствуют.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Вода для нужд котельной используется из собственной скважины. Резервный источник водоснабжения отсутствует. Водоподготовка исходной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Схема теплоснабжения зависимая, закрытая, теплообменное оборудование отсутствует. Горячее водоснабжение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Температурный график работы котельной аналогичен температурному графику котельной МУП «ВТЭК» г. Волчанска – 95/70°С.</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В котельной установлен счетчик электрической энергии. Учет тепловой энергии и воды не осуществляется.</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Источниками центрального теплоснабжения в поселке Вьюжном являются две котельные: муниципальная котельная МУП «ВТЭК» и ведомственная котельная ОАО «Волчанское». Централизованное ГВС в поселке Вьюжном отсутствует. Тепловые сети от котельной МУП «ВТЭК» числится на балансе Администрации Волчанского городского округа, и находятся в ведении МУП «ВТЭК». Тепловые сети от котельной ОАО «Волчанское» являются собственностью ОАО «Волчанское». На момент актуализации схемы теплоснабжения бесхозяйственных сетей в поселке Вьюжном не числится. По данным МУП «ВТЭК» потери через изоляцию в сетях от котельной составляют 11,8%, а по данным ОАО «Волчанское» потери через изоляцию в сетях составляют 6%.</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К системам теплоснабжения поселка Вьюжный подключены объекты жилого фонда, СКБ и прочие юридические лица. Общая протяженность тепловых сетей поселка Вьюжный составляет: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 от котельной МУП «ВТЭК» - 1269,4 м в двухтрубном исчислении.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 от котельной ОАО «Волчанское» - 385 м (Ду 100) в двухтрубном исчислении.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 xml:space="preserve">Большинство труб проложено подземным способом. Тепловая изоляция на надземных трубопроводах выполнена минеральной ватой, частично – ППУ. Тепловая изоляция на подземных трубопроводах выполнена минеральной ватой.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отсутствует. </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Информации об авариях, отказах в системе централизованного теплоснабжения отсутствует.</w:t>
      </w:r>
    </w:p>
    <w:p w:rsidR="008B6C17" w:rsidRPr="007F425D" w:rsidRDefault="008B6C17" w:rsidP="007F425D">
      <w:pPr>
        <w:pStyle w:val="BodyTextIndent"/>
        <w:ind w:firstLine="709"/>
        <w:jc w:val="both"/>
        <w:rPr>
          <w:rFonts w:ascii="Times New Roman" w:hAnsi="Times New Roman" w:cs="Times New Roman"/>
        </w:rPr>
      </w:pPr>
      <w:r w:rsidRPr="007F425D">
        <w:rPr>
          <w:rFonts w:ascii="Times New Roman" w:hAnsi="Times New Roman" w:cs="Times New Roman"/>
        </w:rPr>
        <w:t>Узлы коммерческого учета тепловой энергии у потребителей отсутствуют.</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Система теплоснабжения северной части города</w:t>
      </w:r>
    </w:p>
    <w:p w:rsidR="008B6C17" w:rsidRPr="007F425D" w:rsidRDefault="008B6C17" w:rsidP="007F425D">
      <w:pPr>
        <w:spacing w:after="0" w:line="240" w:lineRule="auto"/>
        <w:ind w:firstLine="709"/>
        <w:jc w:val="center"/>
        <w:rPr>
          <w:rFonts w:ascii="Times New Roman" w:hAnsi="Times New Roman" w:cs="Times New Roman"/>
          <w:sz w:val="28"/>
          <w:szCs w:val="28"/>
        </w:rPr>
      </w:pPr>
    </w:p>
    <w:p w:rsidR="008B6C17" w:rsidRPr="007F425D" w:rsidRDefault="008B6C17" w:rsidP="007F425D">
      <w:pPr>
        <w:pStyle w:val="Default"/>
        <w:ind w:firstLine="709"/>
        <w:jc w:val="both"/>
        <w:rPr>
          <w:sz w:val="28"/>
          <w:szCs w:val="28"/>
        </w:rPr>
      </w:pPr>
      <w:r w:rsidRPr="007F425D">
        <w:rPr>
          <w:b/>
          <w:bCs/>
          <w:sz w:val="28"/>
          <w:szCs w:val="28"/>
        </w:rPr>
        <w:t>Котельная Волчанского механического завода филиала АО «ПК «Уралвагонзавод», г. Волчанск.</w:t>
      </w:r>
    </w:p>
    <w:p w:rsidR="008B6C17" w:rsidRPr="007F425D" w:rsidRDefault="008B6C17" w:rsidP="007F425D">
      <w:pPr>
        <w:pStyle w:val="Default"/>
        <w:ind w:firstLine="709"/>
        <w:jc w:val="both"/>
        <w:rPr>
          <w:sz w:val="28"/>
          <w:szCs w:val="28"/>
        </w:rPr>
      </w:pPr>
      <w:r w:rsidRPr="007F425D">
        <w:rPr>
          <w:sz w:val="28"/>
          <w:szCs w:val="28"/>
        </w:rPr>
        <w:t>Котельная является ведомственной и расположена в Северной части города Волчанска на территории промышленной зоны Волчанского механического завода по адресу: г. Волчанск, ул. Первомайская, 14. Котельная запущена в эксплуатацию в 1985 году.</w:t>
      </w:r>
    </w:p>
    <w:p w:rsidR="008B6C17" w:rsidRPr="007F425D" w:rsidRDefault="008B6C17" w:rsidP="007F425D">
      <w:pPr>
        <w:pStyle w:val="Default"/>
        <w:ind w:firstLine="709"/>
        <w:jc w:val="both"/>
        <w:rPr>
          <w:color w:val="auto"/>
          <w:sz w:val="28"/>
          <w:szCs w:val="28"/>
        </w:rPr>
      </w:pPr>
      <w:r w:rsidRPr="007F425D">
        <w:rPr>
          <w:color w:val="auto"/>
          <w:sz w:val="28"/>
          <w:szCs w:val="28"/>
        </w:rPr>
        <w:t>Основным топливом для котельной служит природный газ. ГРП располагается в отдельно стоящем помещении. В качестве резервного топлива предусмотрено использование мазута.</w:t>
      </w:r>
    </w:p>
    <w:p w:rsidR="008B6C17" w:rsidRPr="007F425D" w:rsidRDefault="008B6C17" w:rsidP="007F425D">
      <w:pPr>
        <w:pStyle w:val="Default"/>
        <w:ind w:firstLine="709"/>
        <w:jc w:val="both"/>
        <w:rPr>
          <w:color w:val="auto"/>
          <w:sz w:val="28"/>
          <w:szCs w:val="28"/>
        </w:rPr>
      </w:pPr>
      <w:r w:rsidRPr="007F425D">
        <w:rPr>
          <w:color w:val="auto"/>
          <w:sz w:val="28"/>
          <w:szCs w:val="28"/>
        </w:rPr>
        <w:t>В котельной расположены три водогрейных котла ПТВМ-30М-4 установленной мощностью 35 Гкал/ч каждый. Водогрейные котлы используются для нужд теплоснабжения города и промышленных объектов завода. Также в котельной расположены два паровых котла ДКВР-4/13 установленной мощностью 5 Гкал/ч каждый. Согласно проведенной экспертизе промышленной безопасности разрешена эксплуатация котлов до 2017 года с последующим освидетельствованием. Паровые котлы в отопительный сезон используются для собственных нужд котельной, а в межотопительный сезон для подогрева ГВС на ЦТП ООО «Север». Все котлы исправны и участвуют в работе котельной.</w:t>
      </w:r>
    </w:p>
    <w:p w:rsidR="008B6C17" w:rsidRPr="007F425D" w:rsidRDefault="008B6C17" w:rsidP="007F425D">
      <w:pPr>
        <w:pStyle w:val="Default"/>
        <w:ind w:firstLine="709"/>
        <w:jc w:val="both"/>
        <w:rPr>
          <w:sz w:val="28"/>
          <w:szCs w:val="28"/>
        </w:rPr>
      </w:pPr>
      <w:r w:rsidRPr="007F425D">
        <w:rPr>
          <w:sz w:val="28"/>
          <w:szCs w:val="28"/>
        </w:rPr>
        <w:t xml:space="preserve">Установленная мощность котельной составляет 115 Гкал/ч. Потери котельной на собственные нужды составляют 7,4%, потери через изоляцию тепловых сетей – 9,8%. Ограничения по использованию мощности отсутствуют. </w:t>
      </w:r>
    </w:p>
    <w:p w:rsidR="008B6C17" w:rsidRPr="007F425D" w:rsidRDefault="008B6C17" w:rsidP="007F425D">
      <w:pPr>
        <w:pStyle w:val="Default"/>
        <w:ind w:firstLine="709"/>
        <w:jc w:val="both"/>
        <w:rPr>
          <w:sz w:val="28"/>
          <w:szCs w:val="28"/>
        </w:rPr>
      </w:pPr>
      <w:r w:rsidRPr="007F425D">
        <w:rPr>
          <w:sz w:val="28"/>
          <w:szCs w:val="28"/>
        </w:rPr>
        <w:t>Вода для нужд котельной используется из собственной скважины (имеется резервный источник водоснабжения) и дальше поступает в водоподготовительную установку. Установка осуществляет деаэрацию и очистку воды посредством двухступенчатого Na-катионирования. В котельной установлены два деаэратора (один резервный), четыре фильтра первой ступени и два фильтра второй ступени Na-катионирования. Регенерация фильтров проводится раствором NaCl (соль). Схема предусматривает нагрев исходной и химически очищенной воды в пароводяных подогревателях. Продувочная вода от всех котлов поступает в сепаратор пара непрерывной продувки, в котором поддерживается такое же давление, как и в деаэраторе. Пар из сепаратора отводится в паровое пространство деаэратора, а горячая вода поступает в водоводяной подогреватель для предварительного нагрева исходной воды. Далее продувочная вода сбрасывается в канализацию или поступает в бак подпиточной воды. Конденсат паровой сети, возвращенный от потребителей, подается насосом из конденсатного бака в деаэратор. В деаэратор поступает химически очищенная вода и конденсат пароводяного подогревателя химически очищенной воды. Сетевая вода подогревается последовательно в охладителе конденсата пароводяного подогревателя и в пароводяном подогревателе. На всех этапах преобразования воды используется насосное оборудование.</w:t>
      </w:r>
    </w:p>
    <w:p w:rsidR="008B6C17" w:rsidRPr="007F425D" w:rsidRDefault="008B6C17" w:rsidP="007F425D">
      <w:pPr>
        <w:pStyle w:val="Default"/>
        <w:ind w:firstLine="709"/>
        <w:jc w:val="both"/>
        <w:rPr>
          <w:sz w:val="28"/>
          <w:szCs w:val="28"/>
        </w:rPr>
      </w:pPr>
      <w:r w:rsidRPr="007F425D">
        <w:rPr>
          <w:sz w:val="28"/>
          <w:szCs w:val="28"/>
        </w:rPr>
        <w:t>Схема теплоснабжения зависимая, закрытая. Горячее водоснабжение отсутствует. К котельной подключен центральный тепловой пункт, который работает по индивидуальному температурному графику 130/95/70°С.</w:t>
      </w:r>
    </w:p>
    <w:p w:rsidR="008B6C17" w:rsidRPr="007F425D" w:rsidRDefault="008B6C17" w:rsidP="007F425D">
      <w:pPr>
        <w:pStyle w:val="Default"/>
        <w:ind w:firstLine="709"/>
        <w:jc w:val="both"/>
        <w:rPr>
          <w:sz w:val="28"/>
          <w:szCs w:val="28"/>
        </w:rPr>
      </w:pPr>
      <w:r w:rsidRPr="007F425D">
        <w:rPr>
          <w:sz w:val="28"/>
          <w:szCs w:val="28"/>
        </w:rPr>
        <w:t>В котельной осуществляется учет газа, воды и электрической энергии. Учет газа осуществляется вычислителем ТЭКОН-17 № 2994.</w:t>
      </w:r>
    </w:p>
    <w:p w:rsidR="008B6C17" w:rsidRPr="007F425D" w:rsidRDefault="008B6C17" w:rsidP="007F425D">
      <w:pPr>
        <w:pStyle w:val="Default"/>
        <w:ind w:firstLine="709"/>
        <w:jc w:val="both"/>
        <w:rPr>
          <w:sz w:val="28"/>
          <w:szCs w:val="28"/>
        </w:rPr>
      </w:pPr>
      <w:r w:rsidRPr="007F425D">
        <w:rPr>
          <w:sz w:val="28"/>
          <w:szCs w:val="28"/>
        </w:rPr>
        <w:t>Информация по отказам и авариям на котельной ВМЗ отсутствует.</w:t>
      </w:r>
    </w:p>
    <w:p w:rsidR="008B6C17" w:rsidRPr="007F425D" w:rsidRDefault="008B6C17" w:rsidP="007F425D">
      <w:pPr>
        <w:pStyle w:val="Default"/>
        <w:ind w:firstLine="709"/>
        <w:jc w:val="both"/>
        <w:rPr>
          <w:sz w:val="28"/>
          <w:szCs w:val="28"/>
        </w:rPr>
      </w:pPr>
      <w:r w:rsidRPr="007F425D">
        <w:rPr>
          <w:sz w:val="28"/>
          <w:szCs w:val="28"/>
        </w:rPr>
        <w:t>От котельной до ЦТП проложено 1460 м (всего сетей от котельной, не включая сети от ЦТП 1900 м) тепловых сетей в двухтрубном исчислении. Изоляция трубопроводов выполнена минеральной ватой. В некоторых местах изоляция нарушена, либо отсутствует. От ЦТП проложено 11492 м тепловых сетей в двухтрубном исчислении и 5782 м в двухтрубном исчислении сетей ГВС.</w:t>
      </w:r>
    </w:p>
    <w:p w:rsidR="008B6C17" w:rsidRPr="007F425D" w:rsidRDefault="008B6C17" w:rsidP="007F425D">
      <w:pPr>
        <w:pStyle w:val="Default"/>
        <w:ind w:firstLine="709"/>
        <w:jc w:val="both"/>
        <w:rPr>
          <w:sz w:val="28"/>
          <w:szCs w:val="28"/>
        </w:rPr>
      </w:pPr>
      <w:r w:rsidRPr="007F425D">
        <w:rPr>
          <w:sz w:val="28"/>
          <w:szCs w:val="28"/>
        </w:rPr>
        <w:t>От котельной Волчанского механического завода проложена двухтрубная тепловая сеть, снабжающая тепловой энергия объекты Волчанского механического завода и центральный тепловой пункт, который находится в аренде у ООО «Север». ЦТП располагается в отдельно стоящем здании по адресу: г. Волчанск, ул. Первомайская, 17а. Рядом расположена насосная станция теплоснабжения (НСТС). Объекты введены в эксплуатацию в 1994 году.</w:t>
      </w:r>
    </w:p>
    <w:p w:rsidR="008B6C17" w:rsidRPr="007F425D" w:rsidRDefault="008B6C17" w:rsidP="007F425D">
      <w:pPr>
        <w:pStyle w:val="Default"/>
        <w:ind w:firstLine="709"/>
        <w:jc w:val="both"/>
        <w:rPr>
          <w:sz w:val="28"/>
          <w:szCs w:val="28"/>
        </w:rPr>
      </w:pPr>
      <w:r w:rsidRPr="007F425D">
        <w:rPr>
          <w:sz w:val="28"/>
          <w:szCs w:val="28"/>
        </w:rPr>
        <w:t xml:space="preserve">Предприятие использует 2 вида теплоносителя от газомазутной котельной Волчанского механического завода: </w:t>
      </w:r>
    </w:p>
    <w:p w:rsidR="008B6C17" w:rsidRPr="007F425D" w:rsidRDefault="008B6C17" w:rsidP="007F425D">
      <w:pPr>
        <w:pStyle w:val="Default"/>
        <w:ind w:firstLine="709"/>
        <w:jc w:val="both"/>
        <w:rPr>
          <w:sz w:val="28"/>
          <w:szCs w:val="28"/>
        </w:rPr>
      </w:pPr>
      <w:r w:rsidRPr="007F425D">
        <w:rPr>
          <w:sz w:val="28"/>
          <w:szCs w:val="28"/>
        </w:rPr>
        <w:t xml:space="preserve">• в отопительный период – подогретую воду с расчётными параметрами 130/70С; </w:t>
      </w:r>
    </w:p>
    <w:p w:rsidR="008B6C17" w:rsidRPr="007F425D" w:rsidRDefault="008B6C17" w:rsidP="007F425D">
      <w:pPr>
        <w:pStyle w:val="Default"/>
        <w:ind w:firstLine="709"/>
        <w:jc w:val="both"/>
        <w:rPr>
          <w:sz w:val="28"/>
          <w:szCs w:val="28"/>
        </w:rPr>
      </w:pPr>
      <w:r w:rsidRPr="007F425D">
        <w:rPr>
          <w:sz w:val="28"/>
          <w:szCs w:val="28"/>
        </w:rPr>
        <w:t xml:space="preserve">• в межотопительный период пар температурой 100-110С и давлением до 1,0МПа. </w:t>
      </w:r>
    </w:p>
    <w:p w:rsidR="008B6C17" w:rsidRPr="007F425D" w:rsidRDefault="008B6C17" w:rsidP="007F425D">
      <w:pPr>
        <w:pStyle w:val="Default"/>
        <w:ind w:firstLine="709"/>
        <w:jc w:val="both"/>
        <w:rPr>
          <w:sz w:val="28"/>
          <w:szCs w:val="28"/>
        </w:rPr>
      </w:pPr>
      <w:r w:rsidRPr="007F425D">
        <w:rPr>
          <w:sz w:val="28"/>
          <w:szCs w:val="28"/>
        </w:rPr>
        <w:t>Процесс нагрева теплоносителя и ГВС реализуется по понижающему температурному графику 130/95/70С. Теплоноситель подаётся в ЦТП на теплообменные аппараты и нагревает теплоноситель во внешнем контуре с целью организации ГВС и отопления потребителей северной части города Волчанска. Для подпитки тепловых сетей отопления осуществляется отбор горячей воды из системы ГВС в бакиаккумуляторы (деаэраторы), её частичная атмосферная деаэрация и хранение запаса подпиточной воды. В летнее время при использовании пара образующийся конденсат собирается в конденсатном баке, с помощью конденсатного насоса закачивается в систему ГВС.</w:t>
      </w:r>
    </w:p>
    <w:p w:rsidR="008B6C17" w:rsidRPr="007F425D" w:rsidRDefault="008B6C17" w:rsidP="007F425D">
      <w:pPr>
        <w:pStyle w:val="Default"/>
        <w:ind w:firstLine="709"/>
        <w:jc w:val="both"/>
        <w:rPr>
          <w:sz w:val="28"/>
          <w:szCs w:val="28"/>
        </w:rPr>
      </w:pPr>
      <w:r w:rsidRPr="007F425D">
        <w:rPr>
          <w:sz w:val="28"/>
          <w:szCs w:val="28"/>
        </w:rPr>
        <w:t>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p>
    <w:p w:rsidR="008B6C17" w:rsidRPr="007F425D" w:rsidRDefault="008B6C17" w:rsidP="007F425D">
      <w:pPr>
        <w:pStyle w:val="Default"/>
        <w:ind w:firstLine="709"/>
        <w:jc w:val="both"/>
        <w:rPr>
          <w:sz w:val="28"/>
          <w:szCs w:val="28"/>
        </w:rPr>
      </w:pPr>
      <w:r w:rsidRPr="007F425D">
        <w:rPr>
          <w:sz w:val="28"/>
          <w:szCs w:val="28"/>
        </w:rPr>
        <w:t>Водоснабжение объекта для нужд подпитки сетей отопления, ГВС, бытовых нужд сотрудников предприятия осуществляется от хозяйственно-питьевого водопровода Волчанского механического завода по 2-м водопроводным вводам от одного источника водоснабжения. Диаметры водопроводных вводов – 100 мм. Имеется возможность подключения в течение 1 часа к системе хозяйственно-питьевого водопровода МУП «Водоканал». Химводоподготовка подпиточной воды не осуществляется, так как отсутствует водоподготовительная установка. Для хранения запаса подпиточной воды тепловых сетей в НСТС имеются:</w:t>
      </w:r>
    </w:p>
    <w:p w:rsidR="008B6C17" w:rsidRPr="007F425D" w:rsidRDefault="008B6C17" w:rsidP="007F425D">
      <w:pPr>
        <w:pStyle w:val="Default"/>
        <w:ind w:firstLine="709"/>
        <w:jc w:val="both"/>
        <w:rPr>
          <w:sz w:val="28"/>
          <w:szCs w:val="28"/>
        </w:rPr>
      </w:pPr>
      <w:r w:rsidRPr="007F425D">
        <w:rPr>
          <w:sz w:val="28"/>
          <w:szCs w:val="28"/>
        </w:rPr>
        <w:t>- 2 бака-аккумулятора (деаэраторы) ёмкостью по 12 м</w:t>
      </w:r>
      <w:r w:rsidRPr="007F425D">
        <w:rPr>
          <w:sz w:val="18"/>
          <w:szCs w:val="18"/>
        </w:rPr>
        <w:t xml:space="preserve">3 </w:t>
      </w:r>
      <w:r w:rsidRPr="007F425D">
        <w:rPr>
          <w:sz w:val="28"/>
          <w:szCs w:val="28"/>
        </w:rPr>
        <w:t xml:space="preserve">каждый; </w:t>
      </w:r>
    </w:p>
    <w:p w:rsidR="008B6C17" w:rsidRPr="007F425D" w:rsidRDefault="008B6C17" w:rsidP="007F425D">
      <w:pPr>
        <w:pStyle w:val="Default"/>
        <w:ind w:firstLine="709"/>
        <w:jc w:val="both"/>
        <w:rPr>
          <w:sz w:val="28"/>
          <w:szCs w:val="28"/>
        </w:rPr>
      </w:pPr>
      <w:r w:rsidRPr="007F425D">
        <w:rPr>
          <w:sz w:val="28"/>
          <w:szCs w:val="28"/>
        </w:rPr>
        <w:t>- 1 бак-аккумулятор (деаэратор) ёмкостью 15,7 м</w:t>
      </w:r>
      <w:r w:rsidRPr="007F425D">
        <w:rPr>
          <w:sz w:val="18"/>
          <w:szCs w:val="18"/>
        </w:rPr>
        <w:t>3</w:t>
      </w:r>
      <w:r w:rsidRPr="007F425D">
        <w:rPr>
          <w:sz w:val="28"/>
          <w:szCs w:val="28"/>
        </w:rPr>
        <w:t xml:space="preserve">. </w:t>
      </w:r>
    </w:p>
    <w:p w:rsidR="008B6C17" w:rsidRPr="007F425D" w:rsidRDefault="008B6C17" w:rsidP="007F425D">
      <w:pPr>
        <w:pStyle w:val="Default"/>
        <w:ind w:firstLine="709"/>
        <w:jc w:val="both"/>
        <w:rPr>
          <w:sz w:val="28"/>
          <w:szCs w:val="28"/>
        </w:rPr>
      </w:pPr>
      <w:r w:rsidRPr="007F425D">
        <w:rPr>
          <w:sz w:val="28"/>
          <w:szCs w:val="28"/>
        </w:rPr>
        <w:t>На границе балансовой принадлежности трубопроводов ЦТП и ВМЗ установлен узел коммерческого учета тепловой энергии (далее – УКУТЭ), осуществляющий учет тепловой энергии, потребленной от котельной. Помимо учета тепловой энергии в ЦТП ведется учет воды и электрической энергии. Также установлены УКУТЭ у потребителей, преимущественно у жилого фонда.</w:t>
      </w:r>
    </w:p>
    <w:p w:rsidR="008B6C17" w:rsidRPr="007F425D" w:rsidRDefault="008B6C17" w:rsidP="007F425D">
      <w:pPr>
        <w:pStyle w:val="Default"/>
        <w:ind w:firstLine="709"/>
        <w:jc w:val="both"/>
        <w:rPr>
          <w:sz w:val="28"/>
          <w:szCs w:val="28"/>
        </w:rPr>
      </w:pPr>
      <w:r w:rsidRPr="007F425D">
        <w:rPr>
          <w:sz w:val="28"/>
          <w:szCs w:val="28"/>
        </w:rPr>
        <w:t xml:space="preserve">Тепловая сеть от ЦТП числится на балансе Администрации Волчанского городского округа. Сети ГВС на момент актуализации схемы теплоснабжения числятся бесхозяйственными, имущество находится в процессе регистрации в собственность. Тепловая сеть и ГВС находятся в хозяйственном ведении ООО «Север». По данным ООО «Север» потери через изоляцию в сетях от ЦТП составляют 9,8%. </w:t>
      </w:r>
    </w:p>
    <w:p w:rsidR="008B6C17" w:rsidRPr="007F425D" w:rsidRDefault="008B6C17" w:rsidP="007F425D">
      <w:pPr>
        <w:pStyle w:val="Default"/>
        <w:ind w:firstLine="709"/>
        <w:jc w:val="both"/>
        <w:rPr>
          <w:sz w:val="28"/>
          <w:szCs w:val="28"/>
        </w:rPr>
      </w:pPr>
      <w:r w:rsidRPr="007F425D">
        <w:rPr>
          <w:sz w:val="28"/>
          <w:szCs w:val="28"/>
        </w:rPr>
        <w:t xml:space="preserve">Общая протяженность тепловых сетей от ЦТП северной части города Волчанска составляет 11492,4 м в двухтрубном исчислении. Протяженность сетей ГВС составляет 5782 м в двухтрубном исчислении. В связи с конфиденциальностью, информация об общей протяженности тепловых сетей, расположенных на территории Волчанского механического завода, отсутствует. </w:t>
      </w:r>
    </w:p>
    <w:p w:rsidR="008B6C17" w:rsidRPr="007F425D" w:rsidRDefault="008B6C17" w:rsidP="007F425D">
      <w:pPr>
        <w:pStyle w:val="Default"/>
        <w:ind w:firstLine="709"/>
        <w:jc w:val="both"/>
        <w:rPr>
          <w:spacing w:val="-11"/>
          <w:sz w:val="28"/>
          <w:szCs w:val="28"/>
        </w:rPr>
      </w:pPr>
      <w:r w:rsidRPr="007F425D">
        <w:rPr>
          <w:sz w:val="28"/>
          <w:szCs w:val="28"/>
        </w:rPr>
        <w:t>Большинство труб проложено подземным канальным способом. Тепловая изоляция на надземных трубопроводах выполнена минеральной ватой, частично – изолоном ППЭ фольгированным с покровным слоем из рубероида, стеклоткани и кровельного железа. Тепловая изоляция на подземных трубопроводах выполнена минеральной ватой, частично – изолоном ППЭ фольгированным с покровным слоем из рубероида. На подземных трубопроводах наблюдается уплотнение изоляции, сползание, увлажнение изоляции, вызванные периодическим затоплением дождевыми и паводковыми водами. Покровный слой частично разрушен. Имеет место изоляция в одном пучке подающего и обратного трубопровода, а в некоторых случаях и трубопровода холодной воды. Часть тепловых сетей проложена без антикоррозионной защиты. Имеются участки труб, исчерпавшие свой технический ресурс и требующие замены. Подробная информация об износе тепловых сетей и сетей ГВС отсутствует.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Необходимая информация находится в разработанной схеме теплоснабжения, утвержденной постановлением главы Волчанского городского округа «Об утверждении схемы теплоснабжения Волчанского городского округа на период  с 2015 по 2030 год» от 20.07.2015 г. № 531.</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Надежность централизованного теплоснабжения Волчанского городского округа обеспечивается надежной работой всех элементов его системы, а также надежностью систем электро-, водо-, теплоснабжения источников тепловой энергии.</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к высоконадежным относится система теплоснабжения котельной МУП «ВТЭК», а к надежным относятся следующие системы теплоснабжения: котельной МУП «ВТЭК» п. Вьюжный, котельной ВМЗ и котельной ОАО «Волчанское. В городском округе отсутствуют малонадежные и ненадежные системы теплоснабжения.</w:t>
      </w:r>
    </w:p>
    <w:p w:rsidR="008B6C17" w:rsidRPr="007F425D" w:rsidRDefault="008B6C17" w:rsidP="007F425D">
      <w:pPr>
        <w:widowControl w:val="0"/>
        <w:shd w:val="clear" w:color="auto" w:fill="FFFFFF"/>
        <w:tabs>
          <w:tab w:val="left" w:pos="1066"/>
        </w:tabs>
        <w:autoSpaceDE w:val="0"/>
        <w:autoSpaceDN w:val="0"/>
        <w:adjustRightInd w:val="0"/>
        <w:spacing w:after="0" w:line="240" w:lineRule="auto"/>
        <w:ind w:firstLine="709"/>
        <w:jc w:val="both"/>
        <w:rPr>
          <w:rFonts w:ascii="Times New Roman" w:hAnsi="Times New Roman" w:cs="Times New Roman"/>
          <w:spacing w:val="-11"/>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Характеристика состояния и проблемы</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На территории Волчанского городского округа заканчиваются запасы угля, отсутствует добыча нефти и газа.</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Структура топливного баланса должна меняться за счет увеличения потребления топлива, в том числе добываемого на территории области, в основном за счет вовлечения в топливный баланс местных энергоресурсов.</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На 01 января 2013 года природный газ подведен к 94 домам Волчанского городского округа. Исходя из экономической целесообразности количество жилых домов, газифицированных сетевым природным газом может быть увеличено примерно в два раза. Дальнейшее развитие газораспределительной сети будет экономически нецелесообразно в связи с существенно большей протяженностью необходимой газораспределительной сети и, одновременно, меньшими объемами потребности в газе. Очевидно, что высокий уровень комфортности проживания и качества жизни населения в негазифицированных населенных пунктах должен достигаться за счет альтернативных решений, в том числе развития газификации с помощью СПГ и внедрения эффективных технологий использования местных энергоресурсов. Кроме этого, уровень комфортности проживания, в особенности в городских населенных пунктах в многоэтажных жилых домах, также достигается путем оборудования жилого фонда электрическими плитами и системами централизованного теплоснабжения.</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Одной из причин сдерживания темпов развития газораспределительной сети в Волчанском городском округе, является недостаточность объемов финансирования мероприятий.</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Из существующих проблем организации качественного теплоснабжения в Волчанском городском округе можно выделить: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Высокий уровень износа основных фондов тепловых сетей. Долгий срок эксплуатации труб вызывает коррозию и усталость металла, что в свою очередь приводит к снижению надежности системы в целом. Коррозионные отложения и отложения солей жесткости, образовавшиеся в тепловых сетях за время эксплуатации, снижают качество сетевой воды. Помимо старения трубопроводов, с годами происходит разрушение или нарушение изоляции. Разрушение изоляции в свою очередь приводит к тепловым потерям и значительному снижению температуры теплоносителя еще до ввода потребителя.</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Гидравлическая разрегулировка тепловых сетей. Отсутствие производства наладочных работ на тепловых сетях является причиной несоблюдения температурного графика у потребителей, при этом на источниках тепловой энергии наблюдается значительный перерасход топлива.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На ЦТП ООО «Север» имеются следующие технические и технологические проблемы: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1. Отсутствие резервного источника электроснабжения.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2. Отсутствие водоподготовительной установки.</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3. Отсутствие расчета максимальной производительности ЦТП.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На котельной МУП «ВТЭК» г. Волчанска имеются следующие технические и технологические проблемы:</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1. Повышенный расход подпиточной воды, вызванный несанкционированным разбором сетевой воды из системы отопления потребителей.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2. Отсутствие узла коммерческого учета тепловой энергии.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3. Отсутствие автоматического розжига на котле №3.</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4. В момент большого расхода подпиточной воды ВПУ работает на предельном уровне производительности.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5. Небольшая нагрузка на ГВС, которая составляет около 5% от максимально возможной.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На котельной МУП «ВТЭК» п. Вьюжный имеются следующие технические и технологические проблемы: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1. Отсутствие резервного источника электроснабжения.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2. Отсутствие водоподготовительной установки.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3. Отсутствие узла коммерческого учета тепловой энергии.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4. Большие потери тепловой энергии в сетях теплоснабжения.</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На котельной ОАО «Волчанское» имеются следующие технические и технологические проблемы:</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1. Отсутствие резервного источника электроснабжения.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2. Отсутствие водоподготовительной установки.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3. Отсутствие узла коммерческого учета тепловой энергии.</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Сведения о предписаниях надзорных органов по устранению нарушений, влияющих на безопасность и надежность системы теплоснабжения, отсутствуют.</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8"/>
          <w:szCs w:val="28"/>
        </w:rPr>
      </w:pPr>
      <w:bookmarkStart w:id="18" w:name="Par10924"/>
      <w:bookmarkEnd w:id="18"/>
      <w:r w:rsidRPr="007F425D">
        <w:rPr>
          <w:rFonts w:ascii="Times New Roman" w:hAnsi="Times New Roman" w:cs="Times New Roman"/>
          <w:sz w:val="28"/>
          <w:szCs w:val="28"/>
        </w:rPr>
        <w:t>ПЕРСПЕКТИВЫ РАЗВИТИЯ СИСТЕМЫ ТЕПЛОСНАБЖЕНИЯ</w:t>
      </w:r>
    </w:p>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8"/>
          <w:szCs w:val="28"/>
        </w:rPr>
      </w:pP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Для развития системы теплоснабжения города проектом предлагается: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Увеличение нагрузок, в связи с вводом в эксплуатацию новых объектов строительства и подключения существующих объектов жилого фонда, СКБ и прочих потребителей. Перспективное увлечение нагрузок представлено в таблице «Прирост  тепловых нагрузок Волчанского городского округа на период 2015 -2030 г.г.». Подключение новых объектов также включает в себя врезку в существующий трубопровод, а при отсутствии трубопровода до объекта, и его прокладку от места врезки.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color w:val="000000"/>
          <w:sz w:val="23"/>
          <w:szCs w:val="23"/>
          <w:lang w:eastAsia="ru-RU"/>
        </w:rPr>
        <w:t>Таблица 1. Прирост тепловых нагрузок Волчанского городского округа на период 2015-2030 г.г</w:t>
      </w:r>
    </w:p>
    <w:tbl>
      <w:tblPr>
        <w:tblW w:w="102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2968"/>
        <w:gridCol w:w="1392"/>
        <w:gridCol w:w="1086"/>
        <w:gridCol w:w="917"/>
        <w:gridCol w:w="917"/>
        <w:gridCol w:w="1526"/>
      </w:tblGrid>
      <w:tr w:rsidR="008B6C17" w:rsidRPr="007F425D">
        <w:trPr>
          <w:trHeight w:val="549"/>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i/>
                <w:iCs/>
                <w:color w:val="000000"/>
                <w:sz w:val="23"/>
                <w:szCs w:val="23"/>
                <w:lang w:eastAsia="ru-RU"/>
              </w:rPr>
              <w:t xml:space="preserve">. </w:t>
            </w:r>
            <w:r w:rsidRPr="007F425D">
              <w:rPr>
                <w:rFonts w:ascii="Times New Roman" w:hAnsi="Times New Roman" w:cs="Times New Roman"/>
                <w:b/>
                <w:bCs/>
                <w:color w:val="000000"/>
                <w:sz w:val="20"/>
                <w:szCs w:val="20"/>
                <w:lang w:eastAsia="ru-RU"/>
              </w:rPr>
              <w:t xml:space="preserve">№ п/п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 xml:space="preserve">Наименование объекта (с указанием целевого назначения: жил. дом, детский сад и т.п.)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 xml:space="preserve">Адрес объекта (месторасположение площадки строительства)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13"/>
                <w:szCs w:val="13"/>
                <w:lang w:eastAsia="ru-RU"/>
              </w:rPr>
            </w:pPr>
            <w:r w:rsidRPr="007F425D">
              <w:rPr>
                <w:rFonts w:ascii="Times New Roman" w:hAnsi="Times New Roman" w:cs="Times New Roman"/>
                <w:b/>
                <w:bCs/>
                <w:color w:val="000000"/>
                <w:sz w:val="20"/>
                <w:szCs w:val="20"/>
                <w:lang w:eastAsia="ru-RU"/>
              </w:rPr>
              <w:t>Отапливаемый объем, м</w:t>
            </w:r>
            <w:r w:rsidRPr="007F425D">
              <w:rPr>
                <w:rFonts w:ascii="Times New Roman" w:hAnsi="Times New Roman" w:cs="Times New Roman"/>
                <w:b/>
                <w:bCs/>
                <w:color w:val="000000"/>
                <w:sz w:val="13"/>
                <w:szCs w:val="13"/>
                <w:lang w:eastAsia="ru-RU"/>
              </w:rPr>
              <w:t xml:space="preserve">3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 xml:space="preserve">Этажность, эт.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 xml:space="preserve">Планируемые сроки строительства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 xml:space="preserve">Тепловая нагрузка (Отопление + ГВС), Гкал </w:t>
            </w:r>
          </w:p>
        </w:tc>
      </w:tr>
      <w:tr w:rsidR="008B6C17" w:rsidRPr="007F425D">
        <w:trPr>
          <w:trHeight w:val="204"/>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Базарная, 1а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2015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0,156 </w:t>
            </w:r>
          </w:p>
        </w:tc>
      </w:tr>
      <w:tr w:rsidR="008B6C17" w:rsidRPr="007F425D">
        <w:trPr>
          <w:trHeight w:val="205"/>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Базарная, 3а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2015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0,204 </w:t>
            </w:r>
          </w:p>
        </w:tc>
      </w:tr>
      <w:tr w:rsidR="008B6C17" w:rsidRPr="007F425D">
        <w:trPr>
          <w:trHeight w:val="436"/>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"Пристроя зала бокса к зданию МБОУ ДОД ДЮСШ;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М.Горького, 8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2015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0,038 </w:t>
            </w:r>
          </w:p>
        </w:tc>
      </w:tr>
      <w:tr w:rsidR="008B6C17" w:rsidRPr="007F425D">
        <w:trPr>
          <w:trHeight w:val="88"/>
        </w:trPr>
        <w:tc>
          <w:tcPr>
            <w:tcW w:w="1457" w:type="dxa"/>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Итого 2015 год:</w:t>
            </w:r>
          </w:p>
        </w:tc>
        <w:tc>
          <w:tcPr>
            <w:tcW w:w="8806" w:type="dxa"/>
            <w:gridSpan w:val="6"/>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0,398</w:t>
            </w:r>
          </w:p>
        </w:tc>
      </w:tr>
      <w:tr w:rsidR="008B6C17" w:rsidRPr="007F425D">
        <w:trPr>
          <w:trHeight w:val="319"/>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4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Североуральская, 13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2016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0,026 </w:t>
            </w:r>
          </w:p>
        </w:tc>
      </w:tr>
      <w:tr w:rsidR="008B6C17" w:rsidRPr="007F425D">
        <w:trPr>
          <w:trHeight w:val="321"/>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5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Молодёжная, 24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2016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0,026 </w:t>
            </w:r>
          </w:p>
        </w:tc>
      </w:tr>
      <w:tr w:rsidR="008B6C17" w:rsidRPr="007F425D">
        <w:trPr>
          <w:trHeight w:val="665"/>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6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Подключение существующего неотапливаемого объекта: "Здание раздевалок спортивного клуба "Луч"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М.Горького, 8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2016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0,03 </w:t>
            </w:r>
          </w:p>
        </w:tc>
      </w:tr>
      <w:tr w:rsidR="008B6C17" w:rsidRPr="007F425D">
        <w:trPr>
          <w:trHeight w:val="550"/>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7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Подключение существующего неотапливаемого объекта: "Нежилое (торговое) здание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Социалистическая, 6а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2016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0,003 </w:t>
            </w:r>
          </w:p>
        </w:tc>
      </w:tr>
      <w:tr w:rsidR="008B6C17" w:rsidRPr="007F425D">
        <w:trPr>
          <w:trHeight w:val="550"/>
        </w:trPr>
        <w:tc>
          <w:tcPr>
            <w:tcW w:w="1457" w:type="dxa"/>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Итого 2016 год:</w:t>
            </w:r>
          </w:p>
        </w:tc>
        <w:tc>
          <w:tcPr>
            <w:tcW w:w="8806" w:type="dxa"/>
            <w:gridSpan w:val="6"/>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0,085</w:t>
            </w:r>
          </w:p>
        </w:tc>
      </w:tr>
      <w:tr w:rsidR="008B6C17" w:rsidRPr="007F425D">
        <w:trPr>
          <w:trHeight w:val="205"/>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8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Пионерская, 4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0,175 </w:t>
            </w:r>
          </w:p>
        </w:tc>
      </w:tr>
      <w:tr w:rsidR="008B6C17" w:rsidRPr="007F425D">
        <w:trPr>
          <w:trHeight w:val="205"/>
        </w:trPr>
        <w:tc>
          <w:tcPr>
            <w:tcW w:w="145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9 </w:t>
            </w:r>
          </w:p>
        </w:tc>
        <w:tc>
          <w:tcPr>
            <w:tcW w:w="2968"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жилого дома </w:t>
            </w:r>
          </w:p>
        </w:tc>
        <w:tc>
          <w:tcPr>
            <w:tcW w:w="1392"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Волчанская, 9 </w:t>
            </w:r>
          </w:p>
        </w:tc>
        <w:tc>
          <w:tcPr>
            <w:tcW w:w="108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917"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0,14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10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Мичурина, 17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0,019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11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Мичурина, 17а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0,019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12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Гоголя, 15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0,019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13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"Лыжной базы и лыжероллерной трассы "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пруд на реке Малая Волчанка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0,041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14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"Школы искусств"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Пионерская, 10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3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0,127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15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Кооперативная, 18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5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0,16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16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Кооперативная, 20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4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0,16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17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Кооперативная, 22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4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2017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0,128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Итого 2017 год:</w:t>
            </w:r>
          </w:p>
        </w:tc>
        <w:tc>
          <w:tcPr>
            <w:tcW w:w="88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0,988</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18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Подключение существующего неотапливаемого объекта: магазин "Северный ветер"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проспект Комсомольский, 8; 2-ой этаж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0,11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19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Социалистическая, 32а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0,021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Строительство индивидуального жилого дома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Коммунальная, 1а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0,015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21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Социалистическая, 13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5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0,171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22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Угольная, 27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5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0,168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23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Мичурина, 12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4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0,085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24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Краснотурьинская, 21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0,021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25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Краснотурьинская, 23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0,048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26 </w:t>
            </w:r>
          </w:p>
        </w:tc>
        <w:tc>
          <w:tcPr>
            <w:tcW w:w="296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Благоустройство многоквартирного жилого дома горячим водоснабжением </w:t>
            </w:r>
          </w:p>
        </w:tc>
        <w:tc>
          <w:tcPr>
            <w:tcW w:w="139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г. Волчанск, ул. Пионерская, 19 </w:t>
            </w:r>
          </w:p>
        </w:tc>
        <w:tc>
          <w:tcPr>
            <w:tcW w:w="108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4"/>
                <w:szCs w:val="24"/>
                <w:lang w:eastAsia="ru-RU"/>
              </w:rPr>
            </w:pPr>
            <w:r w:rsidRPr="007F425D">
              <w:rPr>
                <w:rFonts w:ascii="Times New Roman" w:hAnsi="Times New Roman" w:cs="Times New Roman"/>
                <w:color w:val="000000"/>
                <w:sz w:val="24"/>
                <w:szCs w:val="24"/>
                <w:lang w:eastAsia="ru-RU"/>
              </w:rPr>
              <w:t xml:space="preserve">-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 </w:t>
            </w:r>
          </w:p>
        </w:tc>
        <w:tc>
          <w:tcPr>
            <w:tcW w:w="9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2018 год </w:t>
            </w:r>
          </w:p>
        </w:tc>
        <w:tc>
          <w:tcPr>
            <w:tcW w:w="152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rPr>
                <w:rFonts w:ascii="Times New Roman" w:hAnsi="Times New Roman" w:cs="Times New Roman"/>
                <w:color w:val="000000"/>
                <w:sz w:val="20"/>
                <w:szCs w:val="20"/>
                <w:lang w:eastAsia="ru-RU"/>
              </w:rPr>
            </w:pPr>
            <w:r w:rsidRPr="007F425D">
              <w:rPr>
                <w:rFonts w:ascii="Times New Roman" w:hAnsi="Times New Roman" w:cs="Times New Roman"/>
                <w:color w:val="000000"/>
                <w:sz w:val="20"/>
                <w:szCs w:val="20"/>
                <w:lang w:eastAsia="ru-RU"/>
              </w:rPr>
              <w:t xml:space="preserve">0,048 </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Итого 2018 год:</w:t>
            </w:r>
          </w:p>
        </w:tc>
        <w:tc>
          <w:tcPr>
            <w:tcW w:w="88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0,687</w:t>
            </w:r>
          </w:p>
        </w:tc>
      </w:tr>
      <w:tr w:rsidR="008B6C17" w:rsidRPr="007F4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145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Итого 2015-2030 г.г.:</w:t>
            </w:r>
          </w:p>
        </w:tc>
        <w:tc>
          <w:tcPr>
            <w:tcW w:w="88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center"/>
              <w:rPr>
                <w:rFonts w:ascii="Times New Roman" w:hAnsi="Times New Roman" w:cs="Times New Roman"/>
                <w:color w:val="000000"/>
                <w:sz w:val="20"/>
                <w:szCs w:val="20"/>
                <w:lang w:eastAsia="ru-RU"/>
              </w:rPr>
            </w:pPr>
            <w:r w:rsidRPr="007F425D">
              <w:rPr>
                <w:rFonts w:ascii="Times New Roman" w:hAnsi="Times New Roman" w:cs="Times New Roman"/>
                <w:b/>
                <w:bCs/>
                <w:color w:val="000000"/>
                <w:sz w:val="20"/>
                <w:szCs w:val="20"/>
                <w:lang w:eastAsia="ru-RU"/>
              </w:rPr>
              <w:t>2,158</w:t>
            </w:r>
          </w:p>
        </w:tc>
      </w:tr>
    </w:tbl>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Строительство блочно – модульных  котельных мощностью 20 МВт и 5 МВт для нужд теплоснабжения южной части города Волчанска;</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На данный момент источником теплоснабжения в южной части города Волчанска является газовая котельная МУП «ВТЭК». Одним из ключевых показателей эффективности работы котельной является удельный расход условного топлива. На котельной МУП «ВТЭК» удельный расход условного топлива составляет 228,4 кг.у.т/Гкал, при условии, что экономически эффективный удельный расход условного топлива на газовой котельной должен находиться в пределах от 150 до 170 кг.у.т/Гкал. Помимо этого, котельная обладает резервом тепловой мощности в 9,74 Гкал/ч, что составляет 35,2% от располагаемой мощности котельной. Большой резерв тепловой мощности также негативно сказывается на экономической эффективности. Вышеперечисленные факторы указывают на необходимость строительства БМК. </w:t>
      </w:r>
    </w:p>
    <w:p w:rsidR="008B6C17" w:rsidRPr="007F425D" w:rsidRDefault="008B6C17" w:rsidP="007F425D">
      <w:pPr>
        <w:tabs>
          <w:tab w:val="num" w:pos="1080"/>
        </w:tabs>
        <w:spacing w:after="0" w:line="240" w:lineRule="auto"/>
        <w:ind w:firstLine="720"/>
        <w:jc w:val="both"/>
        <w:rPr>
          <w:rFonts w:ascii="Times New Roman" w:hAnsi="Times New Roman" w:cs="Times New Roman"/>
          <w:sz w:val="23"/>
          <w:szCs w:val="23"/>
        </w:rPr>
      </w:pPr>
      <w:r w:rsidRPr="007F425D">
        <w:rPr>
          <w:rFonts w:ascii="Times New Roman" w:hAnsi="Times New Roman" w:cs="Times New Roman"/>
          <w:sz w:val="28"/>
          <w:szCs w:val="28"/>
        </w:rPr>
        <w:t xml:space="preserve">Разработана проектно – сметная документация ООО «ЭнергоРосСтрой» (г. Екатеринбург) на строительство двух БМК установленной мощностью 20МВт (17,2 Гкал/ч) и 5МВт (4,3 Гкал/ч). Предполагается разделить существующую систему теплоснабжения южной части города Волчанска на две зоны, в каждой из них будет построена котельная. БМК 20 МВт расположится на территории существующей котельной МУП «ВТЭК». БМК 5 МВт расположится на территории городской бани, что в свою очередь позволит избавиться от угольной котельной, вырабатывающей тепловую энергию на нужды городской бани, а также уменьшить расстояние от удаленных потребителей тепла до источника теплоснабжения.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Данное мероприятие позволит повысить качество предоставляемых услуг и повысить экономическую эффективность работы системы теплоснабжения в южной части города Волчанска.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котельной ООО «Север» в Южной части города;</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перекладка участков теплопроводов в Северной и Южной части города, находящихся в неудовлетворительном техническом состоянии или с малыми диаметрами;</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развитие системы отопления и горячего водоснабжения на базе природного газа (от индивидуальных газовых водонагревателей) в районах усадебной и коттеджной застройки.</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Строительство источника резервного электроснабжения на ЦТП ООО «Север» и на котельной МУП «ВТЭК» п. Вьюжный.</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Строительство источника резервного электроснабжения на ЦТП ООО «Север». Согласно Правил устройства электроустановок на данный момент ЦТП имеет III категорию надежности электроснабжения, что является нарушением СП 31-110-2003. Согласно СП 31-110-2003 центральные тепловые пункты должны иметь I категорию надежности электроснабжения. К объектам I категории относятся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 Для потребителей с 1 категорией надежности электроснабжения необходимо осуществить энергоснабжение от двух источников питания. При этом источники питания должны быть независимые. При аварии на одном источнике питание, электроснабжение потребителя будет осуществляться по второму источнику (второму вводу). При этом для электроприемников 1 категории надежности допускается прекращение подачи электроэнергии при отключении одного источника питания только на время, не превышающее автоматический переход на энергоснабжение потребителя по второму источнику питания. Для присвоения I категории надежности электроснабжения, необходимо строительство резервного источника электроснабжения. Указанное мероприятие повысит надежность системы теплоснабжения.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Строительство резервного источника электроснабжения на котельной МУП «ВТЭК» п. Вьюжный. В данный момент котельная имеет III категорию надежности электроснабжения. Данный показатель является недостаточным, так как снижается надежность системы теплоснабжения. Для присвоения I категории надежности электроснабжения, необходимо организовать резервное электроснабжение. Предлагается установить в здании котельной дизельный генератор мощностью 50 кВт. Указанное мероприятие повысит надежность системы теплоснабжения.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В данный момент котельная имеет III категорию надежности электроснабжения. Данный показатель является недостаточным, так как снижается надежность системы теплоснабжения. Для присвоения I категории надежности электроснабжения, необходимо организовать резервное электроснабжение. Предлагается установить в здании котельной дизельный генератор мощностью 50 кВт. Указанное мероприятие повысит надежность системы теплоснабжения.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Строительство водоподготовительной установки на ЦТП ООО «Север». Согласно п. 6.2.53. «Правил технической эксплуатации тепловых энергоустановок»: «Подпитка тепловой сети производится умягченной деаэрированной водой, качественные показатели которой соответствуют требованиям к качеству сетевой и подпиточной воды водогрейных котлов в зависимости от вида источника теплоты и системы теплоснабжения». В настоящее время в здании центрального теплового пункта северной части города Волчанска водоподготовка отсутствует. Подпиточная вода поступает на водоподогреватели из центрального городского водопровода. По данным ООО «Север» качество подпиточной воды для закрытой системы теплоснабжения не соответствует нормативу.</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Кроме того, в исходной питьевой воде из хозяйственно-питьевого водопровода Волчанского механического завода – филиала ОАО «НПК «Уралвагонзавод» содержится в большом количестве растворённый углекислый газ – до 12,6мг/кг, в то время как в подпиточной воде свободная углекислота должна отсутствовать. При нагревании воды данные газы выделяются из исходной воды и занимают значительный объём: для подпитки 10м</w:t>
      </w:r>
      <w:r w:rsidRPr="007F425D">
        <w:rPr>
          <w:rFonts w:ascii="Times New Roman" w:hAnsi="Times New Roman" w:cs="Times New Roman"/>
          <w:sz w:val="18"/>
          <w:szCs w:val="18"/>
        </w:rPr>
        <w:t>3</w:t>
      </w:r>
      <w:r w:rsidRPr="007F425D">
        <w:rPr>
          <w:rFonts w:ascii="Times New Roman" w:hAnsi="Times New Roman" w:cs="Times New Roman"/>
          <w:sz w:val="28"/>
          <w:szCs w:val="28"/>
        </w:rPr>
        <w:t xml:space="preserve">/час – около 200л. Растворённые агрессивные в коррозионном отношении газы – кислород и углекислый газ приводят к ускоренной коррозии водоподогревателей, стальных трубопроводов наружных тепловых сетей отопления и ГВС, систем теплопотребления, в том числе – отопительных приборов, а также приводят к завоздушиванию систем отопления зданий.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По оценкам специалистов ООО «Север» скорость коррозии увеличилась в 5-10 раз. Это приводит к значительным материальным затратам, намного превышающим затраты на водоподготовку.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На основании вышеизложенного, предлагается строительство водоподготовительной установки производительностью ~ 40 м</w:t>
      </w:r>
      <w:r w:rsidRPr="007F425D">
        <w:rPr>
          <w:rFonts w:ascii="Times New Roman" w:hAnsi="Times New Roman" w:cs="Times New Roman"/>
          <w:sz w:val="18"/>
          <w:szCs w:val="18"/>
        </w:rPr>
        <w:t>3</w:t>
      </w:r>
      <w:r w:rsidRPr="007F425D">
        <w:rPr>
          <w:rFonts w:ascii="Times New Roman" w:hAnsi="Times New Roman" w:cs="Times New Roman"/>
          <w:sz w:val="28"/>
          <w:szCs w:val="28"/>
        </w:rPr>
        <w:t>/</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Установка современных измерительных датчиков для контроля показателей качества теплоснабжения от ЦТП ООО «Север».</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В настоящее время оборудование КИП, установленное на ЦТП, устарело. Установка нового оборудования позволит оперативно реагировать на возникающие нештатные ситуации, следить за параметрами работы ЦТП. Данное мероприятие позволит повысить надежность системы теплоснабжения и качество предоставления услуг.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Установка систем пропорционального дозирования реагента-антинакипина на котельной МУП «ВТЭК» п. Вьюжный.</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Подпитка тепловой сети от котельной МУП «ВТЭК» п. Вьюжный осуществляется из собственной скважины. Вода не проходит обработки и в «сыром» виде попадает в котлы и далее в тепловую сеть. При использовании неподготовленной исходной воды происходит отложение солей кальция на стенках котловых секций, тепловых сетях и отопительных приборах потребителей, так как исходная вода обладает повышенной жесткостью (повышенным содержанием растворенных солей кальция). Отложения приводят к ежегодному ремонту котлов и понижению надежности теплоснабжения.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Избавиться от повышенной жесткости возможно, установив в котельной систему пропорционального дозирования реагента-антинакипина. Данное мероприятие снизит количество отложений на внутренней поверхности трубопроводов, что в свою очередь повысит надежность системы теплоснабжения п. Вьюжный.</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Установка УКУТЭ в котельной МУП «ВТЭК» п. Вьюжный.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На данный момент в котельной установлен счетчик воды и электрической энергии. Данный комплекс приборов не позволяет в полной мере оценить эффективность работы котельной, произвести достоверный расчет потребителям тепловой энергии, контролировать качество предоставляемых услуг. УКУТЭ позволяет контролировать: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количество тепловой энергии, отпущенной в тепловую сеть;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температуру теплоносителя;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расход теплоносителя в подающем и обратном трубопроводе;</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давление;</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объем утечек из системы теплоснабжения.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Контроль данных параметров позволит повысить эффективность работы системы теплоснабжения.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Реорганизация теплоснабжения объекта МКУК «Культурно-досуговый центр» в п. Вьюжный: отключение от системы теплоснабжения котельной ОАО «Волчанское» и подключение к системе котельной МУП «ВТЭК».</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В связи с тем, что котельная ОАО «Волчанское» обладает низким показателем надежности теплоснабжения, рекомендуется подключить объект МКУК «КДЦ» к тепловым сетям от котельной МУП «ВТЭК».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Отключение удаленных объектов частной малоэтажной застройки от системы центрального теплоснабжения и перевод на индивидуальные газовые источники теплоснабжения.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Данное мероприятие позволит снизить потери через изоляцию трубопроводов и улучшить гидравлические режимы в системе теплоснабжения.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Проведение гидравлической наладки тепловых сетей и сетей ГВС Волчанского городского округа.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Проведение гидравлической наладки позволяет создать надежный и экономичный режим распределения теплоносителя по потребителям в соответствии с их тепловыми нагрузками.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Реализация мероприятий, описанных в инвестиционной программе «Развитие системы теплоснабжения ООО «Север» Волчанского городского округа Свердловской области на 2015-2020 годы».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Реконструкция участков тепловых сетей, исчерпавших свой технический ресурс.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За время эксплуатации тепловых сетей происходит технический износ трубопровода и изоляционных материалов. Необходимо своевременно производить модернизацию тепловых сетей с целью понижения аварийности и повышения надежности системы теплоснабжения. Информация об износе тепловых сетей Волчанского городского округа отсутствует. Информация о плановой замене сетей представлена в инвестиционной программе «Развитие системы теплоснабжения ООО «Север» Волчанского городского округа Свердловской области на 2015-2020 годы».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xml:space="preserve">- Исключение несанкционированного разбора теплоносителя из системы отопления. </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В системе теплоснабжения Волчанского городского округа имеется проблема значительного превышения фактической подпитки тепловой сети над нормативной. Данная проблема вызвана несанкционированным использованием для бытовых нужд теплоносителя из отопительных приборов. В соответствии с пунктом 6.134 «МДК 4-02.2001. Типовая инструкция по технической эксплуатации тепловых сетей систем коммунального теплоснабжения»: «в отдельных случаях для контроля за герметичностью систем теплопотребления и несанкционированным разбором горячей воды из систем отопления при отсутствии горячего водоснабжения по согласованию с местными органами санитарно-эпидемиологического надзора с предварительным оповещением населения допускается использование флуоресцеина динатриевой соли (Уранин А)». «Уранин А» (флуоресцеин натрия) - динатриевая соль флуоресцеина, хорошо растворимая в воде, с сильной зеленой флуоресценцией. Данная соль является безопасной для человека, но при этом теплоноситель становится непригодным для использования его в бытовых нуждах. Длительное использование соли «Уранин А» позволит выявить нарушителей, выполняющих разбор теплоносителя, а также снизить подпитку тепловой сети, в связи с непригодностью использования теплоносителя для бытовых нужд.</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Для развития системы теплоснабжения поселка</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предлагается:</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 перевод  систем отопления и горячего водоснабжения жилой застройки на поквартирные газовые водонагреватели;</w:t>
      </w:r>
    </w:p>
    <w:p w:rsidR="008B6C17" w:rsidRPr="007F425D" w:rsidRDefault="008B6C17" w:rsidP="007F425D">
      <w:pPr>
        <w:tabs>
          <w:tab w:val="left"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строительство блочной котельной для объектов соц-культбыта поселка, а также блочной котельной на территории базы отдыха.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4.2. СИСТЕМА ВОДОСНАБЖЕНИЯ</w:t>
      </w: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Муниципальное унитарное предприятие «Водоканал» (МУП «Водоканал»), основанное на праве хозяйственного ведения, создано в соответствии с постановлением главы Волчанского городского округа от 29.03.2010 г. № 201  «О создании муниципального унитарного предприятия «Водоканал».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 это организация, осуществляющая услуги подъема, очистки и поставку питьевой воды в полном объеме населению, объектам социального назначения , промышленным и пищевым предприятиям, организациям и  прочим потребителям г. Волчанск и пос. Вьюжный.</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Город Волчанск является центром Волчанского городского округа. Город обслуживает население г. Волчанска 10,3 тыс. жителей. Поселок Вьюжный</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расположен в 3км севернее г. Волчанска на берегу р. Березовка.  Численность населения поселка  Вьюжный   на</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данный период</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составляет 0,27</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тыс. человек.</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Структура системы водоснабжения  г. Волчанск зависит от многих факторов, из которых главными являются следующие: расположение, мощность  объектов водоснабжения, качество подаваемой питьевой воды МУП «Водоканал», состояние водопроводных магистральных и распределительных сетей, рельеф местности и кратность использования холодной  воды населением, промышленными и прочими объектами.</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Станция Лесная Волчанка с пристанционным поселком расположена в Карпинском районе Свердловской области и относится к Серовскому отделению Свердловской железной дороги. По административному делению относится к МО г. Волчанск, Свердловской области 25км.в полосе отвода.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У каждого населенного пункта Волчанского городского округа  отдельная структура системы водоснабжения. На рисунке 1. схематично изображена структура системы водоснабжения города Волчанска, на рисунке 1.1. схематично изображена структура системы водоснабжения станции Лесная Волчанка.</w:t>
      </w:r>
    </w:p>
    <w:p w:rsidR="008B6C17" w:rsidRPr="007F425D" w:rsidRDefault="008B6C17" w:rsidP="007F425D">
      <w:pPr>
        <w:pStyle w:val="PlainText"/>
        <w:tabs>
          <w:tab w:val="left" w:pos="1080"/>
        </w:tabs>
        <w:spacing w:line="240" w:lineRule="auto"/>
        <w:jc w:val="both"/>
        <w:rPr>
          <w:rFonts w:ascii="Times New Roman" w:hAnsi="Times New Roman" w:cs="Times New Roman"/>
          <w:sz w:val="28"/>
          <w:szCs w:val="28"/>
          <w:lang w:val="ru-RU"/>
        </w:rPr>
      </w:pPr>
    </w:p>
    <w:p w:rsidR="008B6C17" w:rsidRPr="007F425D" w:rsidRDefault="008B6C17" w:rsidP="007F425D">
      <w:pPr>
        <w:pStyle w:val="ConsPlusNormal"/>
        <w:widowControl/>
        <w:ind w:firstLine="540"/>
        <w:jc w:val="both"/>
        <w:rPr>
          <w:rFonts w:ascii="Times New Roman" w:hAnsi="Times New Roman" w:cs="Times New Roman"/>
          <w:b/>
          <w:bCs/>
          <w:color w:val="FF0000"/>
          <w:sz w:val="28"/>
          <w:szCs w:val="28"/>
        </w:rPr>
      </w:pPr>
      <w:r w:rsidRPr="0016042C">
        <w:rPr>
          <w:rFonts w:ascii="Times New Roman" w:hAnsi="Times New Roman" w:cs="Times New Roman"/>
          <w:b/>
          <w:bCs/>
          <w:noProof/>
          <w:color w:val="FF0000"/>
          <w:sz w:val="28"/>
          <w:szCs w:val="28"/>
        </w:rPr>
        <w:pict>
          <v:shape id="Рисунок 10" o:spid="_x0000_i1032" type="#_x0000_t75" style="width:471.75pt;height:262.5pt;visibility:visible">
            <v:imagedata r:id="rId9" o:title=""/>
          </v:shape>
        </w:pic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1. Структура системы водоснабжения города Волчанска.</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1-водозаборные сооружения (артезианские скважины);</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2- насосная станция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подъема;</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3 – водоочистные сооружения, станция обезжелезивания; 4-</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распределительные трубопроводы на территории КВОС; 5- резервуары чистой воды (первичные);</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6 – насосная станция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подъема; 7-резервуары чистой воды (дополнительные);</w:t>
      </w: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8-насосная станция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подъема; 9-магистральные трубопроводы; 10- распределительные  трубопроводы.</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 рис. 1 показана структура системы водоснабжения города Волчанска, которая состоит </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из следующих основных элементов:</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водозаборные сооружения  (артезианские скважины);</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водоподъемная станция, т.е. насосная станция, подающая воду к очистным сооружениям (насосная станция 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водоочистные сооружения: градирня, станция обезжелезивания, система обеззараживания;</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распределительные трубопроводы на территории КВОС;</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резервуары чистой фильтрованной воды (первичные) V=100м3 каждый;</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насосная станция, подающая воду к дополнительным резервуарам (насосная станция II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color w:val="4F81BD"/>
          <w:sz w:val="28"/>
          <w:szCs w:val="28"/>
        </w:rPr>
        <w:t xml:space="preserve"> </w:t>
      </w:r>
      <w:r w:rsidRPr="007F425D">
        <w:rPr>
          <w:rFonts w:ascii="Times New Roman" w:hAnsi="Times New Roman" w:cs="Times New Roman"/>
          <w:sz w:val="28"/>
          <w:szCs w:val="28"/>
        </w:rPr>
        <w:t xml:space="preserve"> резервуары чистой воды (дополнительные) V=800м3 каждый, накапливающие и регулирующие запасы воды;</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color w:val="FF0000"/>
          <w:sz w:val="28"/>
          <w:szCs w:val="28"/>
        </w:rPr>
      </w:pPr>
      <w:r w:rsidRPr="007F425D">
        <w:rPr>
          <w:rFonts w:ascii="Times New Roman" w:hAnsi="Times New Roman" w:cs="Times New Roman"/>
          <w:sz w:val="28"/>
          <w:szCs w:val="28"/>
        </w:rPr>
        <w:t xml:space="preserve">насосная станция, подающая воду к потребителям г. Волчанска (насосная станция III подъема); </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магистральные трубопроводы, предназначенные для транспортирования воды от сооружений по районам г. Волчанска (Северную и Южную часть).</w:t>
      </w:r>
    </w:p>
    <w:p w:rsidR="008B6C17" w:rsidRPr="007F425D" w:rsidRDefault="008B6C17" w:rsidP="007F425D">
      <w:pPr>
        <w:pStyle w:val="1"/>
        <w:widowControl w:val="0"/>
        <w:numPr>
          <w:ilvl w:val="0"/>
          <w:numId w:val="21"/>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распределительные трубопроводы, предназначенные для транспортирования воды внутри города к потребителям (уличные, дворовые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Данная централизованная система является единой и осуществляет водоснабжение г. Волчанска. </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1.1. показано географическое  расположение водозабора, водоочистной станции и магистральных водоводов в г. Волчанске.</w:t>
      </w:r>
    </w:p>
    <w:p w:rsidR="008B6C17" w:rsidRPr="007F425D" w:rsidRDefault="008B6C17" w:rsidP="007F425D">
      <w:pPr>
        <w:spacing w:after="0" w:line="240" w:lineRule="auto"/>
        <w:jc w:val="both"/>
        <w:rPr>
          <w:rFonts w:ascii="Times New Roman" w:hAnsi="Times New Roman" w:cs="Times New Roman"/>
          <w:color w:val="4F81BD"/>
          <w:sz w:val="28"/>
          <w:szCs w:val="28"/>
        </w:rPr>
      </w:pPr>
    </w:p>
    <w:p w:rsidR="008B6C17" w:rsidRPr="007F425D" w:rsidRDefault="008B6C17" w:rsidP="007F425D">
      <w:pPr>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11" o:spid="_x0000_i1033" type="#_x0000_t75" style="width:507pt;height:345.75pt;visibility:visible">
            <v:imagedata r:id="rId10" o:title=""/>
          </v:shape>
        </w:pict>
      </w:r>
    </w:p>
    <w:p w:rsidR="008B6C17" w:rsidRPr="007F425D" w:rsidRDefault="008B6C17" w:rsidP="007F425D">
      <w:pPr>
        <w:spacing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Рис.1.1.  Географическое расположение водозабора, водоочистной станции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 магистральных водоводов в г .Волчанске.</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Желтой линией показаны магистральные  ветки Южной и Северной частей.</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2. Схематично изображена структура системы водоснабжения поселка ст. Лесная Волчанка: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12" o:spid="_x0000_i1034" type="#_x0000_t75" style="width:505.5pt;height:357.75pt;visibility:visible">
            <v:imagedata r:id="rId11" o:title=""/>
          </v:shape>
        </w:pic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2. Структура системы водоснабжения ст. Лесная Волчанка.</w:t>
      </w:r>
    </w:p>
    <w:p w:rsidR="008B6C17" w:rsidRPr="007F425D" w:rsidRDefault="008B6C17" w:rsidP="007F425D">
      <w:pPr>
        <w:pStyle w:val="1"/>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 1,2; 2- водопроводные сети; 3- водонапорная башня;</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4-насосная станция; 5- паровозные гидроколонны №1,№2; 6- магистральный водовод;7-распределительные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рис.1 показана структура системы водоснабжения ст. Лесная Волчанка, которая состоит из следующих основных элементов:</w:t>
      </w:r>
    </w:p>
    <w:p w:rsidR="008B6C17" w:rsidRPr="007F425D" w:rsidRDefault="008B6C17" w:rsidP="007F425D">
      <w:pPr>
        <w:pStyle w:val="1"/>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№1,2 расположены в здании насосной станции, с щитом управления скважинами;</w:t>
      </w:r>
    </w:p>
    <w:p w:rsidR="008B6C17" w:rsidRPr="007F425D" w:rsidRDefault="008B6C17" w:rsidP="007F425D">
      <w:pPr>
        <w:pStyle w:val="1"/>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водопроводная сеть, протяженностью  3391,7м.</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водопроводной сети установлены: водонапорная башня и две паровозные  гидроколонны ( №1,№2).</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Водонапорная башня служит для запаса воды, а паровозные гидроколонны №1,2 служат для заправки паровозов. Данная система водоснабжения является единой для поселка ст. Лесная Волчанка</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 xml:space="preserve">(не централизованной) и используется на хозяйственно-питьевых нужд станции и населения пристанционного поселка.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3. Схематично изображена структура системы водоснабжения поселка п. Вьюжный: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color w:val="4F81BD"/>
          <w:sz w:val="28"/>
          <w:szCs w:val="28"/>
        </w:rPr>
      </w:pPr>
      <w:r w:rsidRPr="0016042C">
        <w:rPr>
          <w:rFonts w:ascii="Times New Roman" w:hAnsi="Times New Roman" w:cs="Times New Roman"/>
          <w:noProof/>
          <w:color w:val="4F81BD"/>
          <w:sz w:val="28"/>
          <w:szCs w:val="28"/>
          <w:lang w:eastAsia="ru-RU"/>
        </w:rPr>
        <w:pict>
          <v:shape id="Рисунок 13" o:spid="_x0000_i1035" type="#_x0000_t75" style="width:505.5pt;height:357.75pt;visibility:visible">
            <v:imagedata r:id="rId12" o:title=""/>
          </v:shape>
        </w:pic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Рис. 3. Структура системы водоснабжения п.Вьюжный.</w:t>
      </w:r>
    </w:p>
    <w:p w:rsidR="008B6C17" w:rsidRPr="007F425D" w:rsidRDefault="008B6C17" w:rsidP="007F425D">
      <w:pPr>
        <w:pStyle w:val="1"/>
        <w:widowControl w:val="0"/>
        <w:numPr>
          <w:ilvl w:val="0"/>
          <w:numId w:val="22"/>
        </w:numPr>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артезианские скважины № 1,2 (№3-резервная); 2- насосная станция;</w:t>
      </w:r>
    </w:p>
    <w:p w:rsidR="008B6C17" w:rsidRPr="007F425D" w:rsidRDefault="008B6C17" w:rsidP="007F425D">
      <w:pPr>
        <w:pStyle w:val="1"/>
        <w:widowControl w:val="0"/>
        <w:numPr>
          <w:ilvl w:val="0"/>
          <w:numId w:val="22"/>
        </w:numPr>
        <w:autoSpaceDE w:val="0"/>
        <w:autoSpaceDN w:val="0"/>
        <w:adjustRightInd w:val="0"/>
        <w:spacing w:after="0" w:line="240" w:lineRule="auto"/>
        <w:jc w:val="both"/>
        <w:rPr>
          <w:rFonts w:ascii="Times New Roman" w:hAnsi="Times New Roman" w:cs="Times New Roman"/>
          <w:sz w:val="28"/>
          <w:szCs w:val="28"/>
        </w:rPr>
      </w:pPr>
      <w:r w:rsidRPr="007F425D">
        <w:rPr>
          <w:rFonts w:ascii="Times New Roman" w:hAnsi="Times New Roman" w:cs="Times New Roman"/>
          <w:sz w:val="28"/>
          <w:szCs w:val="28"/>
        </w:rPr>
        <w:t xml:space="preserve"> 3- водонапорная башня; 4- магистральный водовод; 5-распределительные сети.</w:t>
      </w: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Данные системы  водоснабжения поселка Вьюжный и станции Лесная Волчанка являются единственной нецентрализованной системой  и используется на хозяйственно-питьевые нужды станции, населения пристанционного поселка (ст. Лесная Волчанка) и населения п. Вьюжный</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используются скважины законтурного Волчанского узла только для производственного водоснабжения и частично сбрасываются без использования (со скважин Северного дренажного узла) и часть используются для хоз-питьевых целей. Также хоз-питьевое и частично производственное водоснабжение промышленных предприятий осуществляется от систем водоснабжения жилых районов «Северный» и «Южный».</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p>
    <w:p w:rsidR="008B6C17" w:rsidRPr="007F425D" w:rsidRDefault="008B6C17" w:rsidP="007F425D">
      <w:pPr>
        <w:pStyle w:val="Heading3"/>
        <w:spacing w:line="240" w:lineRule="auto"/>
        <w:jc w:val="center"/>
        <w:rPr>
          <w:rFonts w:ascii="Times New Roman" w:hAnsi="Times New Roman" w:cs="Times New Roman"/>
          <w:color w:val="auto"/>
          <w:sz w:val="28"/>
          <w:szCs w:val="28"/>
        </w:rPr>
      </w:pPr>
      <w:r w:rsidRPr="007F425D">
        <w:rPr>
          <w:rFonts w:ascii="Times New Roman" w:hAnsi="Times New Roman" w:cs="Times New Roman"/>
          <w:color w:val="auto"/>
          <w:sz w:val="28"/>
          <w:szCs w:val="28"/>
        </w:rPr>
        <w:t>Описание состояния существующих источников водоснабжения и водозаборных сооружений.</w:t>
      </w:r>
    </w:p>
    <w:p w:rsidR="008B6C17" w:rsidRPr="007F425D" w:rsidRDefault="008B6C17" w:rsidP="007F425D">
      <w:pPr>
        <w:spacing w:after="0" w:line="240" w:lineRule="auto"/>
        <w:jc w:val="both"/>
        <w:rPr>
          <w:rFonts w:ascii="Times New Roman" w:hAnsi="Times New Roman" w:cs="Times New Roman"/>
          <w:sz w:val="28"/>
          <w:szCs w:val="28"/>
        </w:rPr>
      </w:pPr>
    </w:p>
    <w:p w:rsidR="008B6C17" w:rsidRPr="007F425D" w:rsidRDefault="008B6C17" w:rsidP="007F425D">
      <w:pPr>
        <w:pStyle w:val="10"/>
        <w:spacing w:before="0" w:after="0"/>
        <w:ind w:firstLine="709"/>
        <w:jc w:val="both"/>
        <w:rPr>
          <w:rFonts w:ascii="Times New Roman" w:hAnsi="Times New Roman" w:cs="Times New Roman"/>
          <w:sz w:val="28"/>
          <w:szCs w:val="28"/>
        </w:rPr>
      </w:pPr>
      <w:r w:rsidRPr="007F425D">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Северо-Волчанский, Лиховской водозаборы,  водозаборный участок ст. Лесная Волчанка, водозаборный участок пос. Вьюжный,  водозаборный участок Волчанского механического завода.</w:t>
      </w:r>
    </w:p>
    <w:p w:rsidR="008B6C17" w:rsidRPr="007F425D" w:rsidRDefault="008B6C17" w:rsidP="007F425D">
      <w:pPr>
        <w:pStyle w:val="10"/>
        <w:spacing w:before="0" w:after="0"/>
        <w:ind w:firstLine="709"/>
        <w:jc w:val="both"/>
        <w:rPr>
          <w:rFonts w:ascii="Times New Roman" w:hAnsi="Times New Roman" w:cs="Times New Roman"/>
          <w:sz w:val="28"/>
          <w:szCs w:val="28"/>
        </w:rPr>
      </w:pPr>
      <w:r w:rsidRPr="007F425D">
        <w:rPr>
          <w:rFonts w:ascii="Times New Roman" w:hAnsi="Times New Roman" w:cs="Times New Roman"/>
          <w:sz w:val="28"/>
          <w:szCs w:val="28"/>
        </w:rPr>
        <w:t>Общее количество подземных скважин – 15 ед., из них в работе 7 скважин.</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МУП «Водоканал» осуществляет в г. Волчанск услуги подъема и водоподготовки питьевой воды. Для оказания услуг подъема эксплуатирует два участка месторождения подземных питьевых вод. Имущественный комплекс, в том числе водозаборные скважины на основании Постановления Главы Волчанского городского округа от 31.05.2010г. № 382 передан муниципальному унитарному предприятию «Водоканал» (договор аренды от 01.06.2010г. №5) для обслуживания. Водопользователем (МУП «Водоканал»), в 2011г., получена лицензия №02990 вида СВЕ серии ВЭ, действующей до 30.04.2036года, на пользование недрами, добычу питьевых подземных вод  на водозаборных участках Волчанского МПВ для  питьевого, хоз- бытового и технологического водоснабжения г.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источниками хоз-питьевого водоснабжения г. Волчанска являются артезианские скважины Волчанского месторождения, в котором выделено два водозабора:</w:t>
      </w:r>
    </w:p>
    <w:p w:rsidR="008B6C17" w:rsidRPr="007F425D" w:rsidRDefault="008B6C17" w:rsidP="007F425D">
      <w:pPr>
        <w:numPr>
          <w:ilvl w:val="0"/>
          <w:numId w:val="18"/>
        </w:numPr>
        <w:tabs>
          <w:tab w:val="num" w:pos="0"/>
          <w:tab w:val="left" w:pos="1080"/>
        </w:tabs>
        <w:spacing w:after="0" w:line="240" w:lineRule="auto"/>
        <w:ind w:left="0" w:firstLine="709"/>
        <w:jc w:val="both"/>
        <w:rPr>
          <w:rFonts w:ascii="Times New Roman" w:hAnsi="Times New Roman" w:cs="Times New Roman"/>
          <w:sz w:val="28"/>
          <w:szCs w:val="28"/>
        </w:rPr>
      </w:pPr>
      <w:r w:rsidRPr="007F425D">
        <w:rPr>
          <w:rFonts w:ascii="Times New Roman" w:hAnsi="Times New Roman" w:cs="Times New Roman"/>
          <w:sz w:val="28"/>
          <w:szCs w:val="28"/>
        </w:rPr>
        <w:t>Волчанское месторождение подземных вод (МПВ), в  составе Северо-Волчанского и Лиховского водозаборных участков, с утвержденным максимальным среднегодовым запасом подземных вод составляет суммарно  - 6,4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.(2336,0 тыс.м3/год). В т.ч.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Северо-Волчанский  водозабор, – 4,7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состоящий из 4-х эксплуатационных скважин  (№ 1, 3, 8, 9э) и одной наблюдательной скважины 2в, находится в 3,5км западнее северной части г. Волчанска  на левом берегу р. Малый Лих, в 0,7км от ее русла.</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Лиховский  водозабор -  1,7 тыс.м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/сут., состоящий из 2-х эксплуатационных скважин (№6, 7) расположен в 0,65км западнее Северо-Волчанского водозабора , на левом берегу  р. Малый Лих , в 60.0км от ее русла. Согласно  приказа МУП «Водоканал» №3/3 от 01.06.2010г. работа скважин  (№6 и №7)  Лиховского водозабора остановлена. Скважины законсервированы.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Скважины №1,3,8 являются рабочими. Скважины №6,7,9э находятся в резерве (консервации), согласно приказа №3/3 от 01.06.2010г. МУП «Водоканал». Северо-Волчанский и Лиховский водозаборы расположены на территории  МО города Волчанск, в районе Лиховского болота. Лиховской водозабор расположен от Северо-Волчанского на расстоянии 700м. Утвержденные запасы пресных подземных вод на 01.03.2011г. подтверждаются лицензией №01957 вида СВЕ серии ВЭ, действующей до 31.05.2026 года.</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По Северо-Волчанскому месторождению подземных вод, эксплуатационные зоны  относятся к категории А  и определены согласно протокола НТС  «Уралгеология» №110 от 30.06.1960г., б/н от 11.11.1971г., НТС ПГО №64 от 30.11.1982г. Организацией- недропользователем является МУП «Водоканал». Пресные подземные воды по Северо- Волчанскому месторождению используются для хозяйственно-питьевого водоснабжения. Местоположение- Северо-Волчанского участка: Волчанское МПВ, Северо-Волчанский участок, Волчанский ГО,г.Волчанск,3,0км северо-западнее северной окраины. Разрешенная величина водоотбора-4700 тыс.м3/сут.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Величина утвержденных эксплуатационных запасов подземных вод по Волчанскому месторождению -2336 тыс.м3/год 96,4 тыс.м3/сут),в т. ч. Северо-Волчанский водозабор-4,7тыс.м3/сут, Лиховской водозабор-1,7тыс.м3/сут.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Объем водопотребления составляет: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Проектная производительность-12,5тыс.м3/сут.,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Нормативное водопотребление-6,4тыс.м3/сут.,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Фактический водоотбор-3,7 тыс.м3/сут.</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На рисунке 4 Схематично изображены артезианские скважины Северо-Волчанского месторождения, расположенные в квартале 100 Волчанского лесничества Карпинского лесхоза и не входящие в состав Гослесфонда.</w:t>
      </w: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jc w:val="both"/>
        <w:rPr>
          <w:rFonts w:ascii="Times New Roman" w:hAnsi="Times New Roman" w:cs="Times New Roman"/>
          <w:sz w:val="28"/>
          <w:szCs w:val="28"/>
        </w:rPr>
      </w:pPr>
      <w:r w:rsidRPr="0016042C">
        <w:rPr>
          <w:rFonts w:ascii="Times New Roman" w:hAnsi="Times New Roman" w:cs="Times New Roman"/>
          <w:noProof/>
          <w:sz w:val="28"/>
          <w:szCs w:val="28"/>
          <w:lang w:eastAsia="ru-RU"/>
        </w:rPr>
        <w:pict>
          <v:shape id="Рисунок 14" o:spid="_x0000_i1036" type="#_x0000_t75" style="width:382.5pt;height:315.75pt;visibility:visible">
            <v:imagedata r:id="rId13" o:title=""/>
          </v:shape>
        </w:pict>
      </w:r>
    </w:p>
    <w:p w:rsidR="008B6C17" w:rsidRPr="007F425D" w:rsidRDefault="008B6C17" w:rsidP="007F425D">
      <w:pPr>
        <w:tabs>
          <w:tab w:val="left" w:pos="1080"/>
        </w:tabs>
        <w:spacing w:line="240" w:lineRule="auto"/>
        <w:jc w:val="both"/>
        <w:rPr>
          <w:rFonts w:ascii="Times New Roman" w:hAnsi="Times New Roman" w:cs="Times New Roman"/>
          <w:sz w:val="28"/>
          <w:szCs w:val="28"/>
        </w:rPr>
      </w:pPr>
      <w:r w:rsidRPr="007F425D">
        <w:rPr>
          <w:rFonts w:ascii="Times New Roman" w:hAnsi="Times New Roman" w:cs="Times New Roman"/>
          <w:sz w:val="28"/>
          <w:szCs w:val="28"/>
        </w:rPr>
        <w:t>Рис. 4</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Северо-Волчанское</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 xml:space="preserve"> месторождение подземных вод.</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Эксплуатационные запасы Лиховского участка относятся к категории В, согласно протокола НТС б/н от 11.11.1971г.; НТС ПГО «Уралгеология»№ 64 от 30.11.1982г.. Организацией- недропользователем является МУП «Водоканал». Пресные подземные воды по Лиховскому месторождению используются для хозяйственно-питьевого водоснабжения. Местоположение-Лиховского участка: Волчанское МПВ, Лиховской участок ГО, г.Волчанск,3,5 км северо-западнее,  в долине р. Малый Лих.</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Участок недр имеет статус горного отвода. В геоморфологическом отношении район расположен в зоне горно-холмистого Северного Урала и его увалистого восточного склона. Естественный рельеф территории нарушен открытыми выработками буроугольного месторождения «Волчанский» и отвалами вскрышной породы. Западная часть территории города представляет гористо-увалистые формы рельефа, вытянутые в меридиональном направлении. Восточная часть имеет характерные равнинные черты. Геологическое строение  территории,  прилегающей к г. Волчанску, сложное. 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Гидрогеологические условия района характеризуются наличием обособленных водоносных горизонтов в четвертичных, мезозойских и девонских отложениях. Гидрогеологические условия района характеризуются наличием обособленных водоносных горизонтов в четвертичных, мезозойских и девонских отложениях. Подземные воды  четвертичных отложений имеют локальное развитие на застроенной территории, вследствие сдренированности при отработке угольного месторождения и широко развиты на участках, отдаленных от карьера. Воды нижнемезозойского водоносного горизонта – трещинно-пластовые, напорные, приурочены к углям, песчаникам и конгломератам. Водоносная толща подугольного горизонта имеет повсеместное распространение и представлена девонскими известняками, песчаниками, конгломератами и глинами.  Питание бассейна подземных вод происходит, преимущественно, за счет атмосферных осадков, а также при  вскрытии  тектонических водообильных зон. При вскрытии горными работами возможны внезапные прорывы подземных вод из известняков палеозоя.</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Гидрографическая сеть района представлена рекой Большой Волчанкой и ее притоками – реками Малой Волчанкой, Макарьевкой, Озерной, Логовой, Мостовкой, Березовкой – бассейн р. Сосьвы – р. Обь. По характеру водного режима и питания реки относятся к смешанному типу с преобладанием снегового. Годовой режим стока характеризуется резко выраженным весенним половодьем, неустойчивой осенней меженью, часто прерываемой дождевыми паводками. На весенний период приходится 50-55% годового стока, на долю осеннего периода около 40%, на зиму-5-7%. Устойчивый ледостав образуется в первой декаде ноября. Вскрытие рек начинается в третьей декаде апреля. Пик половодья наблюдается во второй, третьей декаде мая, окончание половодья – вторая, третья декада июня. Продолжительность половодья составляет 50-68 дней. Река Большая Волчанка – правобережный приток р. Сосьвы, гидрографическая система   р. Обь. Река берет начало из болота Лихое. Ее общая длина составляет 66 км. Длина реки Большая Волчанка до города Волчанска составляет 0,5 км.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Химический состав подземных вод определяется условиями питания и составами грунтами. Гидрогеологическими работами установлено, что оба  водозаборных участка имеют самостоятельные области питания, наличие между ними слабопроницаемого  блока известняков практически исключает прямое взаимовлияние водозаборов друг на друга. Эксплуатационные запасы подземных  вод Северо-Волчанского и Лиховского водозаборных участков формируются преимущественно за счет естественных ресурсов.  На участках, где питание происходит за счет инфильтрации атмосферных осадков, воды имеют минерализацию 0,3 – 0,4 г/л и гидрокарбонатный кальциево-магниевый или магниево-кальциевый состав. На участках, где питание комплекса осуществляется за счет перетока болот, минерализация возрастает, воды приобретают сульфатно-гидрокарбонатный состав.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По химическому составу подземные воды Волчанского МПВ относятся к гидрокарбонатным кальциевым с минерализацией (сухой остаток) до 0,3-0,4г/дм3. Качество подземных вод  в объеме проведенных исследований, выполненных в лаборатории МУП «Водоканал» и по санитарно- эпидемиологическому заключению  от 28.07.2010г. ФС по надзору в сфере защиты прав потребителей и благополучия человека, подземные источники  не соответствуют требованиям СанПиН 2.1.4.1074-01 </w:t>
      </w:r>
      <w:r w:rsidRPr="007F425D">
        <w:rPr>
          <w:rFonts w:ascii="Times New Roman" w:hAnsi="Times New Roman" w:cs="Times New Roman"/>
          <w:spacing w:val="-1"/>
          <w:sz w:val="28"/>
          <w:szCs w:val="28"/>
        </w:rPr>
        <w:t>«</w:t>
      </w:r>
      <w:r w:rsidRPr="007F425D">
        <w:rPr>
          <w:rFonts w:ascii="Times New Roman" w:hAnsi="Times New Roman" w:cs="Times New Roman"/>
          <w:sz w:val="28"/>
          <w:szCs w:val="28"/>
        </w:rPr>
        <w:t>Питьевая вода. Гигиенические требования к качеству воды централизованных систем питьевого водоснабжения. Контроль качества. Санитарно- эпидемиологические правила и нормы</w:t>
      </w:r>
      <w:r w:rsidRPr="007F425D">
        <w:rPr>
          <w:rFonts w:ascii="Times New Roman" w:hAnsi="Times New Roman" w:cs="Times New Roman"/>
          <w:spacing w:val="-1"/>
          <w:sz w:val="28"/>
          <w:szCs w:val="28"/>
        </w:rPr>
        <w:t>». На Северо-Волчанском водозаборе превышение показателей в последние годы (2009г.) составило</w:t>
      </w:r>
      <w:r w:rsidRPr="007F425D">
        <w:rPr>
          <w:rFonts w:ascii="Times New Roman" w:hAnsi="Times New Roman" w:cs="Times New Roman"/>
          <w:sz w:val="28"/>
          <w:szCs w:val="28"/>
        </w:rPr>
        <w:t>: железо (2,6-6,5 мг/дм3,при ПДК 0,3мг/дм3 (до 20ПДК)), марганец (0,22-1,75мг/дм3.при ПДК 0,1мг/дм3,(до 15ПДК)), окисляемость и как следствие по цветности (до 23-35град.при ПДК 20 град,(до 15 ПДК)), мутности (до 1,98-56,78 мг/дм3.при ПДК 1,5мг/дм3,(до 13ПДК)), что характерно для заболоченных территорий. В радиационном отношении вода безопасная.</w:t>
      </w:r>
      <w:r w:rsidRPr="007F425D">
        <w:rPr>
          <w:rFonts w:ascii="Times New Roman" w:hAnsi="Times New Roman" w:cs="Times New Roman"/>
          <w:color w:val="365F91"/>
          <w:sz w:val="28"/>
          <w:szCs w:val="28"/>
        </w:rPr>
        <w:t xml:space="preserve"> </w:t>
      </w:r>
      <w:r w:rsidRPr="007F425D">
        <w:rPr>
          <w:rFonts w:ascii="Times New Roman" w:hAnsi="Times New Roman" w:cs="Times New Roman"/>
          <w:sz w:val="28"/>
          <w:szCs w:val="28"/>
        </w:rPr>
        <w:t>На Лиховском водозаборе, в последние годы его эксплуатации вода также не отвечала требованиям СанПиН 2.1.4.1074-01 по окисляемости (до 1,4ПДК), по содержанию железа(до 20ПДК), марганца(до 10ПДК),и как следствие по цветности (до 15ПДК),мутности (до 14ПДК).</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По микробиологическим, вирусологическим показателям превышений ПДК не обнаружено (воды здоровые).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Качество воды подземного источника централизованного водоснабжения контролирует ФБУЗ «Центр гигиены и эпидемиологии в Свердловской области» в г. Североуральск,  в г. Ивдель, в городе Краснотурьинске и городе Карпинск», отбор проб и проведение анализов осуществляется аккредитованной лабораторией (аттестат № РОСС </w:t>
      </w:r>
      <w:r w:rsidRPr="007F425D">
        <w:rPr>
          <w:rFonts w:ascii="Times New Roman" w:hAnsi="Times New Roman" w:cs="Times New Roman"/>
          <w:sz w:val="28"/>
          <w:szCs w:val="28"/>
          <w:lang w:val="en-US"/>
        </w:rPr>
        <w:t>RU</w:t>
      </w:r>
      <w:r w:rsidRPr="007F425D">
        <w:rPr>
          <w:rFonts w:ascii="Times New Roman" w:hAnsi="Times New Roman" w:cs="Times New Roman"/>
          <w:sz w:val="28"/>
          <w:szCs w:val="28"/>
        </w:rPr>
        <w:t xml:space="preserve">.0001.514236), в соответствии с  ГОСТ Р 51593-2000 «Вода питьевая. Отбор проб», а также контроль питьевой воды из разводящей сети и перед подачей в разводящую сеть (резервуар-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-подъем) поводит лаборатория МУП «Водоканал» г. Волчанска, по утвержденной, согласованной органами  Роспотребнадзора рабочей программе лабораторно-производственного микробиологического, химического и технологического контроля на 2010-2014г.г.. Деятельность МУП «Водоканал», связанная с забором подземных вод из артезианских скважин Волчанского водозабора на хозяйственно-питьевые нужды населения г. Волчанска согласована и удостоверена санитарно эпидемиологическим заключением  № 66.01.31.000.м.002598.07.10 от 28.07.2010г.</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r w:rsidRPr="007F425D">
        <w:rPr>
          <w:rFonts w:ascii="Times New Roman" w:hAnsi="Times New Roman" w:cs="Times New Roman"/>
          <w:spacing w:val="-1"/>
          <w:sz w:val="28"/>
          <w:szCs w:val="28"/>
        </w:rPr>
        <w:t>Результаты исследования качества воды</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Волчанского водозабора за первое полугодие 2014  года,</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согласно информации, предоставленной МУП «Водоканал», представлены в таблице 1.</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r w:rsidRPr="007F425D">
        <w:rPr>
          <w:rFonts w:ascii="Times New Roman" w:hAnsi="Times New Roman" w:cs="Times New Roman"/>
          <w:spacing w:val="-1"/>
          <w:sz w:val="28"/>
          <w:szCs w:val="28"/>
        </w:rPr>
        <w:t>Сводная таблица результатов анализов</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Волчанского водозабора за 1 полугодие 2014 г.</w:t>
      </w:r>
      <w:r w:rsidRPr="007F425D">
        <w:rPr>
          <w:rFonts w:ascii="Times New Roman" w:hAnsi="Times New Roman" w:cs="Times New Roman"/>
          <w:color w:val="FF0000"/>
          <w:spacing w:val="-1"/>
          <w:sz w:val="28"/>
          <w:szCs w:val="28"/>
        </w:rPr>
        <w:t xml:space="preserve"> </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color w:val="FF0000"/>
          <w:spacing w:val="-1"/>
          <w:sz w:val="28"/>
          <w:szCs w:val="28"/>
        </w:rPr>
      </w:pPr>
    </w:p>
    <w:p w:rsidR="008B6C17" w:rsidRPr="007F425D" w:rsidRDefault="008B6C17" w:rsidP="007F425D">
      <w:pPr>
        <w:autoSpaceDE w:val="0"/>
        <w:autoSpaceDN w:val="0"/>
        <w:adjustRightInd w:val="0"/>
        <w:spacing w:after="0" w:line="240" w:lineRule="auto"/>
        <w:ind w:firstLine="709"/>
        <w:jc w:val="right"/>
        <w:rPr>
          <w:rFonts w:ascii="Times New Roman" w:hAnsi="Times New Roman" w:cs="Times New Roman"/>
          <w:spacing w:val="-1"/>
          <w:sz w:val="28"/>
          <w:szCs w:val="28"/>
        </w:rPr>
      </w:pPr>
      <w:r w:rsidRPr="007F425D">
        <w:rPr>
          <w:rFonts w:ascii="Times New Roman" w:hAnsi="Times New Roman" w:cs="Times New Roman"/>
          <w:spacing w:val="-1"/>
          <w:sz w:val="28"/>
          <w:szCs w:val="28"/>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30"/>
        <w:gridCol w:w="1900"/>
        <w:gridCol w:w="1651"/>
        <w:gridCol w:w="1724"/>
        <w:gridCol w:w="1343"/>
        <w:gridCol w:w="1386"/>
        <w:gridCol w:w="1311"/>
      </w:tblGrid>
      <w:tr w:rsidR="008B6C17" w:rsidRPr="007F425D">
        <w:trPr>
          <w:tblHeader/>
          <w:jc w:val="center"/>
        </w:trPr>
        <w:tc>
          <w:tcPr>
            <w:tcW w:w="28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105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713"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Минимальное значение</w:t>
            </w:r>
          </w:p>
        </w:tc>
        <w:tc>
          <w:tcPr>
            <w:tcW w:w="740"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Максимальное значение</w:t>
            </w:r>
          </w:p>
        </w:tc>
        <w:tc>
          <w:tcPr>
            <w:tcW w:w="741"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Средние показатели</w:t>
            </w:r>
          </w:p>
        </w:tc>
        <w:tc>
          <w:tcPr>
            <w:tcW w:w="775"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ПДК,ГОСТ 2761-84</w:t>
            </w:r>
          </w:p>
        </w:tc>
        <w:tc>
          <w:tcPr>
            <w:tcW w:w="687"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 СанПиН</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2.1.4.1074-01</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Цветность, град</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186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139</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Мутность,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5,55</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8,65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Запах, балл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Привкус</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pH, ед.pH</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Жесткость общ.</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5,68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6,37</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5,88</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Окисляемость перманганатная,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5,168</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6,38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6,23</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Сухой остаток,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267</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318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292</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Аммиак, ионы аммония сумм,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2,534</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4,516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3,525</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Нитрит-ион,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0,016</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0,312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0,376</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0,34</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Хлорид-ион,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5,34</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Сульфат-ион,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20,44</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34,11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25,77</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500</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Полифосфат-ион,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0,013</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0,021</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0,016</w:t>
            </w:r>
          </w:p>
        </w:tc>
        <w:tc>
          <w:tcPr>
            <w:tcW w:w="775" w:type="pct"/>
          </w:tcPr>
          <w:p w:rsidR="008B6C17" w:rsidRPr="007F425D" w:rsidRDefault="008B6C17" w:rsidP="007F425D">
            <w:pPr>
              <w:pStyle w:val="10"/>
              <w:jc w:val="both"/>
              <w:rPr>
                <w:rFonts w:ascii="Times New Roman" w:hAnsi="Times New Roman" w:cs="Times New Roman"/>
                <w:sz w:val="24"/>
                <w:szCs w:val="24"/>
              </w:rPr>
            </w:pP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3,5</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Алюминий,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0,019</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0,065</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0,042</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0,5</w:t>
            </w:r>
          </w:p>
        </w:tc>
        <w:tc>
          <w:tcPr>
            <w:tcW w:w="687" w:type="pct"/>
          </w:tcPr>
          <w:p w:rsidR="008B6C17" w:rsidRPr="007F425D" w:rsidRDefault="008B6C17" w:rsidP="007F425D">
            <w:pPr>
              <w:pStyle w:val="10"/>
              <w:jc w:val="both"/>
              <w:rPr>
                <w:rFonts w:ascii="Times New Roman" w:hAnsi="Times New Roman" w:cs="Times New Roman"/>
                <w:color w:val="FF0000"/>
                <w:sz w:val="24"/>
                <w:szCs w:val="24"/>
              </w:rPr>
            </w:pP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Железо сумм,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5,672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5,934</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5,803</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Марганец ,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0,891</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0,958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0,924</w:t>
            </w:r>
          </w:p>
        </w:tc>
        <w:tc>
          <w:tcPr>
            <w:tcW w:w="77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6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0,1</w:t>
            </w:r>
          </w:p>
        </w:tc>
      </w:tr>
      <w:tr w:rsidR="008B6C17" w:rsidRPr="007F425D">
        <w:trPr>
          <w:jc w:val="center"/>
        </w:trPr>
        <w:tc>
          <w:tcPr>
            <w:tcW w:w="28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1057"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Медь, мг/л</w:t>
            </w:r>
          </w:p>
        </w:tc>
        <w:tc>
          <w:tcPr>
            <w:tcW w:w="713"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0,062</w:t>
            </w:r>
          </w:p>
        </w:tc>
        <w:tc>
          <w:tcPr>
            <w:tcW w:w="74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0,088</w:t>
            </w:r>
          </w:p>
        </w:tc>
        <w:tc>
          <w:tcPr>
            <w:tcW w:w="741"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0,075</w:t>
            </w:r>
          </w:p>
        </w:tc>
        <w:tc>
          <w:tcPr>
            <w:tcW w:w="775" w:type="pct"/>
          </w:tcPr>
          <w:p w:rsidR="008B6C17" w:rsidRPr="007F425D" w:rsidRDefault="008B6C17" w:rsidP="007F425D">
            <w:pPr>
              <w:pStyle w:val="10"/>
              <w:jc w:val="both"/>
              <w:rPr>
                <w:rFonts w:ascii="Times New Roman" w:hAnsi="Times New Roman" w:cs="Times New Roman"/>
                <w:color w:val="FF0000"/>
                <w:sz w:val="24"/>
                <w:szCs w:val="24"/>
              </w:rPr>
            </w:pPr>
          </w:p>
        </w:tc>
        <w:tc>
          <w:tcPr>
            <w:tcW w:w="687" w:type="pct"/>
          </w:tcPr>
          <w:p w:rsidR="008B6C17" w:rsidRPr="007F425D" w:rsidRDefault="008B6C17" w:rsidP="007F425D">
            <w:pPr>
              <w:pStyle w:val="10"/>
              <w:jc w:val="both"/>
              <w:rPr>
                <w:rFonts w:ascii="Times New Roman" w:hAnsi="Times New Roman" w:cs="Times New Roman"/>
                <w:color w:val="FF0000"/>
                <w:sz w:val="24"/>
                <w:szCs w:val="24"/>
              </w:rPr>
            </w:pPr>
          </w:p>
        </w:tc>
      </w:tr>
      <w:tr w:rsidR="008B6C17" w:rsidRPr="007F425D">
        <w:trPr>
          <w:jc w:val="center"/>
        </w:trPr>
        <w:tc>
          <w:tcPr>
            <w:tcW w:w="28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105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Фторид-ион, мг/л</w:t>
            </w:r>
          </w:p>
        </w:tc>
        <w:tc>
          <w:tcPr>
            <w:tcW w:w="713"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0,207</w:t>
            </w:r>
          </w:p>
        </w:tc>
        <w:tc>
          <w:tcPr>
            <w:tcW w:w="740"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0,258</w:t>
            </w:r>
          </w:p>
        </w:tc>
        <w:tc>
          <w:tcPr>
            <w:tcW w:w="741"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0,232</w:t>
            </w:r>
          </w:p>
        </w:tc>
        <w:tc>
          <w:tcPr>
            <w:tcW w:w="775"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p>
        </w:tc>
        <w:tc>
          <w:tcPr>
            <w:tcW w:w="687"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r>
    </w:tbl>
    <w:p w:rsidR="008B6C17" w:rsidRPr="007F425D" w:rsidRDefault="008B6C17" w:rsidP="007F425D">
      <w:pPr>
        <w:autoSpaceDE w:val="0"/>
        <w:autoSpaceDN w:val="0"/>
        <w:adjustRightInd w:val="0"/>
        <w:spacing w:after="0" w:line="240" w:lineRule="auto"/>
        <w:jc w:val="both"/>
        <w:rPr>
          <w:rFonts w:ascii="Times New Roman" w:hAnsi="Times New Roman" w:cs="Times New Roman"/>
          <w:spacing w:val="-1"/>
          <w:sz w:val="24"/>
          <w:szCs w:val="24"/>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r w:rsidRPr="007F425D">
        <w:rPr>
          <w:rFonts w:ascii="Times New Roman" w:hAnsi="Times New Roman" w:cs="Times New Roman"/>
          <w:spacing w:val="-1"/>
          <w:sz w:val="28"/>
          <w:szCs w:val="28"/>
        </w:rPr>
        <w:t>Результаты радиационного контроля воды подземных источников артезианских скважин в местах водозабора представлены в таблице 10.</w:t>
      </w:r>
    </w:p>
    <w:p w:rsidR="008B6C17" w:rsidRPr="007F425D" w:rsidRDefault="008B6C17" w:rsidP="007F425D">
      <w:pPr>
        <w:autoSpaceDE w:val="0"/>
        <w:autoSpaceDN w:val="0"/>
        <w:adjustRightInd w:val="0"/>
        <w:spacing w:after="0" w:line="240" w:lineRule="auto"/>
        <w:ind w:firstLine="709"/>
        <w:jc w:val="right"/>
        <w:rPr>
          <w:rFonts w:ascii="Times New Roman" w:hAnsi="Times New Roman" w:cs="Times New Roman"/>
          <w:spacing w:val="-1"/>
          <w:sz w:val="28"/>
          <w:szCs w:val="28"/>
        </w:rPr>
      </w:pPr>
      <w:r w:rsidRPr="007F425D">
        <w:rPr>
          <w:rFonts w:ascii="Times New Roman" w:hAnsi="Times New Roman" w:cs="Times New Roman"/>
          <w:spacing w:val="-1"/>
          <w:sz w:val="28"/>
          <w:szCs w:val="28"/>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53"/>
        <w:gridCol w:w="1040"/>
        <w:gridCol w:w="2520"/>
        <w:gridCol w:w="2816"/>
        <w:gridCol w:w="2816"/>
      </w:tblGrid>
      <w:tr w:rsidR="008B6C17" w:rsidRPr="007F425D">
        <w:trPr>
          <w:trHeight w:val="517"/>
          <w:jc w:val="center"/>
        </w:trPr>
        <w:tc>
          <w:tcPr>
            <w:tcW w:w="335"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52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Год</w:t>
            </w:r>
          </w:p>
        </w:tc>
        <w:tc>
          <w:tcPr>
            <w:tcW w:w="127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Общая α – радиоактивность, Бк/кг, ПДК -0,1 Бк/л</w:t>
            </w:r>
          </w:p>
        </w:tc>
        <w:tc>
          <w:tcPr>
            <w:tcW w:w="1429" w:type="pct"/>
            <w:tcBorders>
              <w:top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Радон-222,</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ПДК-60Бк/л</w:t>
            </w:r>
          </w:p>
        </w:tc>
        <w:tc>
          <w:tcPr>
            <w:tcW w:w="142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xml:space="preserve">Общая β – радиоактивность, </w:t>
            </w:r>
          </w:p>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ПДК-1,0 Бк/л</w:t>
            </w:r>
          </w:p>
        </w:tc>
      </w:tr>
      <w:tr w:rsidR="008B6C17" w:rsidRPr="007F425D">
        <w:trPr>
          <w:trHeight w:val="517"/>
          <w:jc w:val="center"/>
        </w:trPr>
        <w:tc>
          <w:tcPr>
            <w:tcW w:w="335"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527"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2013</w:t>
            </w:r>
          </w:p>
        </w:tc>
        <w:tc>
          <w:tcPr>
            <w:tcW w:w="1279"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0,02</w:t>
            </w:r>
          </w:p>
        </w:tc>
        <w:tc>
          <w:tcPr>
            <w:tcW w:w="1429"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10,5</w:t>
            </w:r>
          </w:p>
        </w:tc>
        <w:tc>
          <w:tcPr>
            <w:tcW w:w="1429"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0,055</w:t>
            </w:r>
          </w:p>
        </w:tc>
      </w:tr>
    </w:tbl>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4"/>
          <w:szCs w:val="24"/>
        </w:rPr>
      </w:pP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r w:rsidRPr="007F425D">
        <w:rPr>
          <w:rFonts w:ascii="Times New Roman" w:hAnsi="Times New Roman" w:cs="Times New Roman"/>
          <w:spacing w:val="-1"/>
          <w:sz w:val="28"/>
          <w:szCs w:val="28"/>
        </w:rPr>
        <w:t>Общие α и β радиоактивности и суммарная объемная радиоактивность в течение последних лет наблюдения – нормативные.</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pacing w:val="-1"/>
          <w:sz w:val="28"/>
          <w:szCs w:val="28"/>
        </w:rPr>
      </w:pPr>
      <w:r w:rsidRPr="007F425D">
        <w:rPr>
          <w:rFonts w:ascii="Times New Roman" w:hAnsi="Times New Roman" w:cs="Times New Roman"/>
          <w:spacing w:val="-1"/>
          <w:sz w:val="28"/>
          <w:szCs w:val="28"/>
        </w:rPr>
        <w:t>Микробиологические и паразитологические показатели воды подземных источников г. Волчанска соответствуют гигиеническим нормативам ГН 2.1.5.1351-03 «Предельно допустимые концентрации (ПДК)химических веществ в воде водных объектов хозяйственно-питьевого и культурно-бытового водопользования», СанПиН 2.1.4.1074-01 «Питьевая вода. Гигиенические требования к качеству воды централизованных систем питьевого водоснабжения. Контроль качества.», что подтверждается санитарно-эпидемиологическим заключением (№ 66.01.31.000.М.002598.07.10 от 28.07.2010г). Воды подземного источника не токсичны.</w:t>
      </w:r>
    </w:p>
    <w:p w:rsidR="008B6C17" w:rsidRPr="007F425D" w:rsidRDefault="008B6C17" w:rsidP="007F425D">
      <w:pPr>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Согласно протоколам лабораторных испытаний </w:t>
      </w:r>
      <w:r w:rsidRPr="007F425D">
        <w:rPr>
          <w:rFonts w:ascii="Times New Roman" w:hAnsi="Times New Roman" w:cs="Times New Roman"/>
          <w:sz w:val="28"/>
          <w:szCs w:val="28"/>
        </w:rPr>
        <w:t xml:space="preserve">ФБУЗ «Центр гигиены и эпидемиологии в Свердловской области» в г. Североуральск, в г. Ивдель, в городе Краснотурьинске и городе Карпинск» и проведению количественных химических анализов, выявлены следующие отклонения по качество воды скважин- «Вода подземного источника централизованного водоснабжения» не соответствует требованиям гигиенических нормативов </w:t>
      </w:r>
      <w:r w:rsidRPr="007F425D">
        <w:rPr>
          <w:rFonts w:ascii="Times New Roman" w:hAnsi="Times New Roman" w:cs="Times New Roman"/>
          <w:spacing w:val="-1"/>
          <w:sz w:val="28"/>
          <w:szCs w:val="28"/>
        </w:rPr>
        <w:t xml:space="preserve">ГН 2.1.5.1351-03 «Предельно допустимые концентрации (ПДК) химических веществ в воде водных объектов хозяйственно-питьевого и культурно-бытового водопользования» по следующим показателям: окисляемость, содержанию аммиака, железо(включая хлорное железо по </w:t>
      </w:r>
      <w:r w:rsidRPr="007F425D">
        <w:rPr>
          <w:rFonts w:ascii="Times New Roman" w:hAnsi="Times New Roman" w:cs="Times New Roman"/>
          <w:spacing w:val="-1"/>
          <w:sz w:val="28"/>
          <w:szCs w:val="28"/>
          <w:lang w:val="en-US"/>
        </w:rPr>
        <w:t>Fe</w:t>
      </w:r>
      <w:r w:rsidRPr="007F425D">
        <w:rPr>
          <w:rFonts w:ascii="Times New Roman" w:hAnsi="Times New Roman" w:cs="Times New Roman"/>
          <w:spacing w:val="-1"/>
          <w:sz w:val="28"/>
          <w:szCs w:val="28"/>
        </w:rPr>
        <w:t xml:space="preserve"> (4,9</w:t>
      </w:r>
      <w:r w:rsidRPr="007F425D">
        <w:rPr>
          <w:rFonts w:ascii="Times New Roman" w:hAnsi="Times New Roman" w:cs="Times New Roman"/>
          <w:spacing w:val="-1"/>
          <w:sz w:val="28"/>
          <w:szCs w:val="28"/>
          <w:u w:val="single"/>
        </w:rPr>
        <w:t>+</w:t>
      </w:r>
      <w:r w:rsidRPr="007F425D">
        <w:rPr>
          <w:rFonts w:ascii="Times New Roman" w:hAnsi="Times New Roman" w:cs="Times New Roman"/>
          <w:spacing w:val="-1"/>
          <w:sz w:val="28"/>
          <w:szCs w:val="28"/>
        </w:rPr>
        <w:t>0,7 (ПДК-0,3 мг/дм3),марганец (0,72</w:t>
      </w:r>
      <w:r w:rsidRPr="007F425D">
        <w:rPr>
          <w:rFonts w:ascii="Times New Roman" w:hAnsi="Times New Roman" w:cs="Times New Roman"/>
          <w:spacing w:val="-1"/>
          <w:sz w:val="28"/>
          <w:szCs w:val="28"/>
          <w:u w:val="single"/>
        </w:rPr>
        <w:t>+</w:t>
      </w:r>
      <w:r w:rsidRPr="007F425D">
        <w:rPr>
          <w:rFonts w:ascii="Times New Roman" w:hAnsi="Times New Roman" w:cs="Times New Roman"/>
          <w:spacing w:val="-1"/>
          <w:sz w:val="28"/>
          <w:szCs w:val="28"/>
        </w:rPr>
        <w:t xml:space="preserve">0,12(ПДК-0,3)),а также по органолептическим показателям. Повышенное содержание тяжелых металлов  марганец и железа в подземных источниках </w:t>
      </w:r>
      <w:r w:rsidRPr="007F425D">
        <w:rPr>
          <w:rFonts w:ascii="Times New Roman" w:hAnsi="Times New Roman" w:cs="Times New Roman"/>
          <w:spacing w:val="-4"/>
          <w:sz w:val="28"/>
          <w:szCs w:val="28"/>
        </w:rPr>
        <w:t xml:space="preserve">обусловлено как природным повышенным содержанием металлов </w:t>
      </w:r>
      <w:r w:rsidRPr="007F425D">
        <w:rPr>
          <w:rFonts w:ascii="Times New Roman" w:hAnsi="Times New Roman" w:cs="Times New Roman"/>
          <w:spacing w:val="-2"/>
          <w:sz w:val="28"/>
          <w:szCs w:val="28"/>
        </w:rPr>
        <w:t>в водовмещающих породах и в почвах, подземных и поверхностных водах</w:t>
      </w:r>
      <w:r w:rsidRPr="007F425D">
        <w:rPr>
          <w:rFonts w:ascii="Times New Roman" w:hAnsi="Times New Roman" w:cs="Times New Roman"/>
          <w:spacing w:val="-4"/>
          <w:sz w:val="28"/>
          <w:szCs w:val="28"/>
        </w:rPr>
        <w:t xml:space="preserve"> на </w:t>
      </w:r>
      <w:r w:rsidRPr="007F425D">
        <w:rPr>
          <w:rFonts w:ascii="Times New Roman" w:hAnsi="Times New Roman" w:cs="Times New Roman"/>
          <w:spacing w:val="-2"/>
          <w:sz w:val="28"/>
          <w:szCs w:val="28"/>
        </w:rPr>
        <w:t>территориях горноскладчатого Урала, к которым относится г. Волчанск, подтверждается данными многолетних наблюдений и вызывается составом слагающих пород.</w:t>
      </w: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Водозаборные сооружения</w:t>
      </w: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В настоящее время добыча подземной воды осуществляется на Северо-Волчанском водозаборе (артезианские скважины), состоящем из 4-х эксплуатационных(31,3,8,9э) и одной наблюдательной №2.Водозабор введен в эксплуатацию в 1966г; скважины №1,3,8 являются рабочими, скважина №9э находится в резерве. Лиховской водозабор, не работающий с мая 2009г., состоит из 2-х эксплуатационных скважин №6,7. Лиховской водозабор был введен в эксплуатацию в1982 году. Северо-Волчанский и Лиховской водозаборы расположены на территории Волчанского городского округа, в пределах Лиховского болота, Северо-Волчанский водозабор находится в 3,5км. западнее северной части г. Волчанска, в 3,7км.севернее г. Волчанка, на правом берегу  р.Мал.Лих, в 0,5км.от ее русла; Лиховской водозабор- в 0,6км западнее  Северо-Волчанского  водозабора, на правом берегу  р.Мал.Лих, в 0,04км. от ее русла. Северо-Волчанский водозаборный участок Волчанского МПВ разведанУралгидроэкспедицией в 1958-1960 годы в полосе трещиноватых и закарстованных известняков. Для покрытия дефицита в хоз. Питьевой воде г. Волчанска в 1971году, западнее Северо-Волчанского водозабора, в долине рек Малый Лих Буланашской ГРП треста «Уралшахтогеология» разведан Лиховской водозаборный участок. Над устьями всех скважин установлены надкаптажные павильоны, устья скважин прочно герметизированы. Оголовки скважин № 1,3,9э находятся в бетонных воротниках. На водопроводящих трубах установлены манометры, имеются краны для отбора проб. Средствами для инструментального учета водоотбора скважины не оборудованы. Учет водоотбора на Северо-Волчанском, Лиховском водозаборе ведется  косвенным способом по производительности насосов, времени их работы  и расходу электроэнергии. Динамический уровень  воды замеряется уровнемерами. В рабочих скважинах № 1,3,8 установлены насосы марки: ЭЦВ 12-210*65 на глубине – 45м. В скважине № 9э насос и водопроводящие трубы демонтированы. Скважины закреплены глухими обсадными трубами и фильтрованными колоннами, а также щелевыми фильтрами.</w:t>
      </w: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 xml:space="preserve">Основные данные о водозаборе подземных вод МУП «Водоканал» г.Волчанска Свердловской обл.,(паспортные характеристики основного оборудования) приведены в таблице № </w:t>
      </w:r>
    </w:p>
    <w:p w:rsidR="008B6C17" w:rsidRPr="007F425D" w:rsidRDefault="008B6C17" w:rsidP="007F425D">
      <w:pPr>
        <w:pStyle w:val="Title"/>
        <w:pBdr>
          <w:bottom w:val="single" w:sz="8" w:space="31" w:color="4F81BD"/>
        </w:pBdr>
        <w:spacing w:after="0"/>
        <w:ind w:firstLine="709"/>
        <w:jc w:val="both"/>
        <w:rPr>
          <w:rFonts w:ascii="Times New Roman" w:hAnsi="Times New Roman" w:cs="Times New Roman"/>
          <w:color w:val="auto"/>
          <w:sz w:val="28"/>
          <w:szCs w:val="28"/>
          <w:lang w:val="ru-RU"/>
        </w:rPr>
      </w:pPr>
      <w:r w:rsidRPr="007F425D">
        <w:rPr>
          <w:rFonts w:ascii="Times New Roman" w:hAnsi="Times New Roman" w:cs="Times New Roman"/>
          <w:color w:val="auto"/>
          <w:sz w:val="28"/>
          <w:szCs w:val="28"/>
          <w:lang w:val="ru-RU"/>
        </w:rPr>
        <w:t xml:space="preserve">Характеристика  основного оборудования  водозаборов  подземных вод  </w:t>
      </w:r>
      <w:r w:rsidRPr="007F425D">
        <w:rPr>
          <w:rFonts w:ascii="Times New Roman" w:hAnsi="Times New Roman" w:cs="Times New Roman"/>
          <w:color w:val="auto"/>
          <w:sz w:val="28"/>
          <w:szCs w:val="28"/>
        </w:rPr>
        <w:t>I</w:t>
      </w:r>
      <w:r w:rsidRPr="007F425D">
        <w:rPr>
          <w:rFonts w:ascii="Times New Roman" w:hAnsi="Times New Roman" w:cs="Times New Roman"/>
          <w:color w:val="auto"/>
          <w:sz w:val="28"/>
          <w:szCs w:val="28"/>
          <w:lang w:val="ru-RU"/>
        </w:rPr>
        <w:t xml:space="preserve"> подъема.</w:t>
      </w:r>
    </w:p>
    <w:p w:rsidR="008B6C17" w:rsidRPr="007F425D" w:rsidRDefault="008B6C17" w:rsidP="007F425D">
      <w:pPr>
        <w:spacing w:line="240" w:lineRule="auto"/>
        <w:jc w:val="right"/>
        <w:rPr>
          <w:rFonts w:ascii="Times New Roman" w:hAnsi="Times New Roman" w:cs="Times New Roman"/>
          <w:sz w:val="28"/>
          <w:szCs w:val="28"/>
        </w:rPr>
      </w:pPr>
      <w:r w:rsidRPr="007F425D">
        <w:rPr>
          <w:rFonts w:ascii="Times New Roman" w:hAnsi="Times New Roman" w:cs="Times New Roman"/>
          <w:sz w:val="28"/>
          <w:szCs w:val="28"/>
        </w:rPr>
        <w:t>Таблица 11</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134"/>
        <w:gridCol w:w="1093"/>
        <w:gridCol w:w="1080"/>
        <w:gridCol w:w="1260"/>
        <w:gridCol w:w="1417"/>
        <w:gridCol w:w="1463"/>
      </w:tblGrid>
      <w:tr w:rsidR="008B6C17" w:rsidRPr="007F425D">
        <w:trPr>
          <w:trHeight w:val="1359"/>
        </w:trPr>
        <w:tc>
          <w:tcPr>
            <w:tcW w:w="2093" w:type="dxa"/>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Характеристика основных данных водозаборов подземных вод</w:t>
            </w:r>
          </w:p>
        </w:tc>
        <w:tc>
          <w:tcPr>
            <w:tcW w:w="1134" w:type="dxa"/>
            <w:vAlign w:val="center"/>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Скважина№7</w:t>
            </w:r>
          </w:p>
        </w:tc>
        <w:tc>
          <w:tcPr>
            <w:tcW w:w="1093"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№6</w:t>
            </w:r>
          </w:p>
        </w:tc>
        <w:tc>
          <w:tcPr>
            <w:tcW w:w="1080"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№9э</w:t>
            </w:r>
          </w:p>
        </w:tc>
        <w:tc>
          <w:tcPr>
            <w:tcW w:w="1260"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№8</w:t>
            </w:r>
          </w:p>
        </w:tc>
        <w:tc>
          <w:tcPr>
            <w:tcW w:w="1417"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№3</w:t>
            </w:r>
          </w:p>
        </w:tc>
        <w:tc>
          <w:tcPr>
            <w:tcW w:w="1463" w:type="dxa"/>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Скважина</w:t>
            </w: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w:t>
            </w:r>
          </w:p>
        </w:tc>
      </w:tr>
      <w:tr w:rsidR="008B6C17" w:rsidRPr="007F425D">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Назначение</w:t>
            </w:r>
          </w:p>
        </w:tc>
        <w:tc>
          <w:tcPr>
            <w:tcW w:w="7447" w:type="dxa"/>
            <w:gridSpan w:val="6"/>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 хозяйственно – питьевое водоснабжение</w:t>
            </w:r>
          </w:p>
        </w:tc>
      </w:tr>
      <w:tr w:rsidR="008B6C17" w:rsidRPr="007F425D">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Год бурения</w:t>
            </w:r>
          </w:p>
        </w:tc>
        <w:tc>
          <w:tcPr>
            <w:tcW w:w="1134"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1972</w:t>
            </w:r>
          </w:p>
        </w:tc>
        <w:tc>
          <w:tcPr>
            <w:tcW w:w="1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1972</w:t>
            </w:r>
          </w:p>
        </w:tc>
        <w:tc>
          <w:tcPr>
            <w:tcW w:w="108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1960</w:t>
            </w:r>
          </w:p>
        </w:tc>
        <w:tc>
          <w:tcPr>
            <w:tcW w:w="126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1987</w:t>
            </w:r>
          </w:p>
        </w:tc>
        <w:tc>
          <w:tcPr>
            <w:tcW w:w="1417"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1963</w:t>
            </w:r>
          </w:p>
        </w:tc>
        <w:tc>
          <w:tcPr>
            <w:tcW w:w="146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1962</w:t>
            </w:r>
          </w:p>
        </w:tc>
      </w:tr>
      <w:tr w:rsidR="008B6C17" w:rsidRPr="007F425D">
        <w:trPr>
          <w:trHeight w:val="634"/>
        </w:trPr>
        <w:tc>
          <w:tcPr>
            <w:tcW w:w="2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Глубина скважины</w:t>
            </w:r>
          </w:p>
        </w:tc>
        <w:tc>
          <w:tcPr>
            <w:tcW w:w="1134"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09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08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49</w:t>
            </w:r>
          </w:p>
        </w:tc>
        <w:tc>
          <w:tcPr>
            <w:tcW w:w="1260"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417"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c>
          <w:tcPr>
            <w:tcW w:w="1463" w:type="dxa"/>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100</w:t>
            </w:r>
          </w:p>
        </w:tc>
      </w:tr>
      <w:tr w:rsidR="008B6C17" w:rsidRPr="007F425D">
        <w:trPr>
          <w:trHeight w:val="3129"/>
        </w:trPr>
        <w:tc>
          <w:tcPr>
            <w:tcW w:w="2093" w:type="dxa"/>
          </w:tcPr>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Характеристика оборудования</w:t>
            </w:r>
          </w:p>
        </w:tc>
        <w:tc>
          <w:tcPr>
            <w:tcW w:w="1134"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 тип  ЭЦВ – 10 – 65-65;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09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 тип  ЭЦВ -6-16-50 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08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12- 160-65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260"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ЭЦВ-12-160-65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 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417"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12-160-65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c>
          <w:tcPr>
            <w:tcW w:w="1463" w:type="dxa"/>
          </w:tcPr>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насос:тип  ЭЦВ – 160-65</w:t>
            </w:r>
          </w:p>
          <w:p w:rsidR="008B6C17" w:rsidRPr="007F425D" w:rsidRDefault="008B6C17" w:rsidP="007F425D">
            <w:pPr>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глубина загрузки насоса-45м</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Водомер</w:t>
            </w:r>
          </w:p>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Уровнемер</w:t>
            </w:r>
          </w:p>
        </w:tc>
      </w:tr>
      <w:tr w:rsidR="008B6C17" w:rsidRPr="007F425D">
        <w:trPr>
          <w:trHeight w:val="861"/>
        </w:trPr>
        <w:tc>
          <w:tcPr>
            <w:tcW w:w="2093" w:type="dxa"/>
          </w:tcPr>
          <w:p w:rsidR="008B6C17" w:rsidRPr="007F425D" w:rsidRDefault="008B6C17" w:rsidP="007F425D">
            <w:pPr>
              <w:spacing w:after="0"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Оборудование устья</w:t>
            </w:r>
          </w:p>
        </w:tc>
        <w:tc>
          <w:tcPr>
            <w:tcW w:w="7447" w:type="dxa"/>
            <w:gridSpan w:val="6"/>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Воротник.                  Изоляция затрубья.                  Запорное устройство</w:t>
            </w:r>
          </w:p>
        </w:tc>
      </w:tr>
    </w:tbl>
    <w:p w:rsidR="008B6C17" w:rsidRPr="007F425D" w:rsidRDefault="008B6C17" w:rsidP="007F425D">
      <w:pPr>
        <w:spacing w:after="0" w:line="240" w:lineRule="auto"/>
        <w:ind w:firstLine="709"/>
        <w:jc w:val="both"/>
        <w:rPr>
          <w:rFonts w:ascii="Times New Roman" w:hAnsi="Times New Roman" w:cs="Times New Roman"/>
          <w:b/>
          <w:bCs/>
          <w:sz w:val="28"/>
          <w:szCs w:val="28"/>
        </w:rPr>
      </w:pPr>
    </w:p>
    <w:p w:rsidR="008B6C17" w:rsidRPr="007F425D" w:rsidRDefault="008B6C17" w:rsidP="007F425D">
      <w:pPr>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b/>
          <w:bCs/>
          <w:sz w:val="28"/>
          <w:szCs w:val="28"/>
        </w:rPr>
        <w:t xml:space="preserve">Объем водопотребления составляет: </w:t>
      </w:r>
    </w:p>
    <w:p w:rsidR="008B6C17" w:rsidRPr="007F425D" w:rsidRDefault="008B6C17" w:rsidP="007F425D">
      <w:pPr>
        <w:spacing w:after="0" w:line="240" w:lineRule="auto"/>
        <w:ind w:firstLine="709"/>
        <w:jc w:val="both"/>
        <w:rPr>
          <w:rFonts w:ascii="Times New Roman" w:hAnsi="Times New Roman" w:cs="Times New Roman"/>
          <w:b/>
          <w:bCs/>
          <w:i/>
          <w:iCs/>
          <w:sz w:val="28"/>
          <w:szCs w:val="28"/>
        </w:rPr>
      </w:pPr>
      <w:r w:rsidRPr="007F425D">
        <w:rPr>
          <w:rFonts w:ascii="Times New Roman" w:hAnsi="Times New Roman" w:cs="Times New Roman"/>
          <w:b/>
          <w:bCs/>
          <w:i/>
          <w:iCs/>
          <w:sz w:val="28"/>
          <w:szCs w:val="28"/>
        </w:rPr>
        <w:t>Проектная производительность- 12,5 тыс. м³/сутки;</w:t>
      </w:r>
    </w:p>
    <w:p w:rsidR="008B6C17" w:rsidRPr="007F425D" w:rsidRDefault="008B6C17" w:rsidP="007F425D">
      <w:pPr>
        <w:spacing w:after="0" w:line="240" w:lineRule="auto"/>
        <w:ind w:firstLine="709"/>
        <w:jc w:val="both"/>
        <w:rPr>
          <w:rFonts w:ascii="Times New Roman" w:hAnsi="Times New Roman" w:cs="Times New Roman"/>
          <w:b/>
          <w:bCs/>
          <w:i/>
          <w:iCs/>
          <w:sz w:val="28"/>
          <w:szCs w:val="28"/>
        </w:rPr>
      </w:pPr>
      <w:r w:rsidRPr="007F425D">
        <w:rPr>
          <w:rFonts w:ascii="Times New Roman" w:hAnsi="Times New Roman" w:cs="Times New Roman"/>
          <w:b/>
          <w:bCs/>
          <w:i/>
          <w:iCs/>
          <w:sz w:val="28"/>
          <w:szCs w:val="28"/>
        </w:rPr>
        <w:t xml:space="preserve"> Нормативное водопотребление – 6,4 тыс. м³/сутки; </w:t>
      </w:r>
    </w:p>
    <w:p w:rsidR="008B6C17" w:rsidRPr="007F425D" w:rsidRDefault="008B6C17" w:rsidP="007F425D">
      <w:pPr>
        <w:spacing w:after="0" w:line="240" w:lineRule="auto"/>
        <w:ind w:firstLine="709"/>
        <w:jc w:val="both"/>
        <w:rPr>
          <w:rFonts w:ascii="Times New Roman" w:hAnsi="Times New Roman" w:cs="Times New Roman"/>
          <w:b/>
          <w:bCs/>
          <w:i/>
          <w:iCs/>
          <w:sz w:val="28"/>
          <w:szCs w:val="28"/>
        </w:rPr>
      </w:pPr>
      <w:r w:rsidRPr="007F425D">
        <w:rPr>
          <w:rFonts w:ascii="Times New Roman" w:hAnsi="Times New Roman" w:cs="Times New Roman"/>
          <w:b/>
          <w:bCs/>
          <w:i/>
          <w:iCs/>
          <w:sz w:val="28"/>
          <w:szCs w:val="28"/>
        </w:rPr>
        <w:t xml:space="preserve"> Фактический водоотбор составляет – 3,7 тыс. м³/сутки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 Благодаря наличию покровных, преимущественно глинистых отложений повышенной мощности в кровле продуктивного водоносного горизонта, при отсутствии открытых карстовых  форм в рельефе на водозаборных участках, подземные воды квалифицируются как защищенные от бактериального загрязнения и недостаточно защищенные от химического загрязнения.</w:t>
      </w:r>
    </w:p>
    <w:p w:rsidR="008B6C17" w:rsidRPr="007F425D" w:rsidRDefault="008B6C17" w:rsidP="007F425D">
      <w:pPr>
        <w:tabs>
          <w:tab w:val="left" w:pos="1080"/>
        </w:tabs>
        <w:spacing w:after="0" w:line="240" w:lineRule="auto"/>
        <w:jc w:val="both"/>
        <w:rPr>
          <w:rFonts w:ascii="Times New Roman" w:hAnsi="Times New Roman" w:cs="Times New Roman"/>
          <w:b/>
          <w:bCs/>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Станция Лесная Волчанка</w:t>
      </w:r>
    </w:p>
    <w:p w:rsidR="008B6C17" w:rsidRPr="007F425D" w:rsidRDefault="008B6C17" w:rsidP="007F425D">
      <w:pPr>
        <w:spacing w:after="0" w:line="240" w:lineRule="auto"/>
        <w:ind w:firstLine="709"/>
        <w:jc w:val="center"/>
        <w:rPr>
          <w:rFonts w:ascii="Times New Roman" w:hAnsi="Times New Roman" w:cs="Times New Roman"/>
          <w:b/>
          <w:bCs/>
          <w:sz w:val="28"/>
          <w:szCs w:val="28"/>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Филиал ОАО «РЖД» г.Карпинска (Серовская дистанция гражданских сооружений водоснабжения и водоотведения) осуществляет услуги подъема и транспортировки питьевой воды потребителям поселка Лесная Волчанка. На основании свидетельства о регистрации права Управления Федеральной регистрационной службы по Свердловской области №66-66-40/014/2009-471 от 16.07.2009</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утверждено  право собственности</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на артезианские скважины  расположенные по адресу в Свердловская область, МО г.Волчанск.ул.Станционная,35а</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площадью-2685,1кв.м.</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 xml:space="preserve">Для оказания услуг подъема  эксплуатируется два участка месторождения подземных питьевых вод. Год ввода в эксплуатацию-1950г. Назначение скважин – коммуникационные. По конструкции: бетонный фундамент, стены – стальные трубы. Глубина артезианских скважин-60 м. В настоящее время у недропользователя – филиала ОАО «РЖД» г. Карпинска имеется лицензия №01706 вида СВЕ серии ВЭ, действующая до 31.03.2029г.. Пользование недрами, добыча питьевых подземных вод  на водозаборных участках (В/У  ж.д.ст. Лесная Волчанка, Волчанский ГО, территория ж.д.ст.Лесная Волчанка(номер по ГУВ-624) предназначено  для хозяйственно-питьевого производственно-технического водоснабжения ж.д.ст. Лесная Волчанка и населения  пристанционного поселка. </w:t>
      </w:r>
      <w:r w:rsidRPr="007F425D">
        <w:rPr>
          <w:rStyle w:val="11"/>
          <w:i w:val="0"/>
          <w:iCs w:val="0"/>
          <w:color w:val="000000"/>
          <w:sz w:val="28"/>
          <w:szCs w:val="28"/>
        </w:rPr>
        <w:t xml:space="preserve">Источником хоз-питьевого водоснабжения поселка при станции Лесная Волчанка являются две артезианские скважины (№1 и №2), глубиной 60 метров каждая, расположенные в здании насосной станции, дебитом 37,5м3/час и 26,3м3/час соответственно (производительностью </w:t>
      </w:r>
      <w:r w:rsidRPr="007F425D">
        <w:rPr>
          <w:rStyle w:val="11"/>
          <w:i w:val="0"/>
          <w:iCs w:val="0"/>
          <w:sz w:val="28"/>
          <w:szCs w:val="28"/>
        </w:rPr>
        <w:t>0,768 тыс.м /сут.)</w:t>
      </w:r>
      <w:r w:rsidRPr="007F425D">
        <w:rPr>
          <w:rFonts w:ascii="Times New Roman" w:hAnsi="Times New Roman" w:cs="Times New Roman"/>
          <w:sz w:val="28"/>
          <w:szCs w:val="28"/>
        </w:rPr>
        <w:t xml:space="preserve">. Разрешенная величина водоотбора  составляет 37,5 тыс.м3/сут., без утверждения запасов подземных вод на 01.03.2011г. Скважины водозаборного участка «Лесная Волчанка  (№ 1 и 2), используемые для системы горячего водоснабжения жилого района «Северный» не имеют утвержденных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Временно ЗСО установлены Главным Управлением природных ресурсов и охраны окружающей среды МПР для «РЖД» в следующих границах:</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пояс- радиусом 50 м вокруг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пояс радиусом 90 м вокруг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 – в площади формирования ресурсов участка – 0,27 км</w:t>
      </w:r>
      <w:r w:rsidRPr="007F425D">
        <w:rPr>
          <w:rFonts w:ascii="Times New Roman" w:hAnsi="Times New Roman" w:cs="Times New Roman"/>
          <w:sz w:val="28"/>
          <w:szCs w:val="28"/>
          <w:vertAlign w:val="superscript"/>
        </w:rPr>
        <w:t xml:space="preserve"> 2</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R</w:t>
      </w:r>
      <w:r w:rsidRPr="007F425D">
        <w:rPr>
          <w:rFonts w:ascii="Times New Roman" w:hAnsi="Times New Roman" w:cs="Times New Roman"/>
          <w:sz w:val="28"/>
          <w:szCs w:val="28"/>
        </w:rPr>
        <w:t>~ 300м).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Данные о качестве питьевой  воды водозабора станции Лесная Волчанка по физико-химическим показателям за 2014г. приведены в таблице 4</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Сводная таблица результатов анализов</w:t>
      </w:r>
      <w:r w:rsidRPr="007F425D">
        <w:rPr>
          <w:rFonts w:ascii="Times New Roman" w:hAnsi="Times New Roman" w:cs="Times New Roman"/>
          <w:color w:val="FF0000"/>
          <w:spacing w:val="-1"/>
          <w:sz w:val="28"/>
          <w:szCs w:val="28"/>
        </w:rPr>
        <w:t xml:space="preserve"> </w:t>
      </w:r>
      <w:r w:rsidRPr="007F425D">
        <w:rPr>
          <w:rFonts w:ascii="Times New Roman" w:hAnsi="Times New Roman" w:cs="Times New Roman"/>
          <w:spacing w:val="-1"/>
          <w:sz w:val="28"/>
          <w:szCs w:val="28"/>
        </w:rPr>
        <w:t>водозабора  на ст.Лесная Волчанка за 1-ое полугодие  2014 г.</w:t>
      </w:r>
    </w:p>
    <w:p w:rsidR="008B6C17" w:rsidRPr="007F425D" w:rsidRDefault="008B6C17" w:rsidP="007F425D">
      <w:pPr>
        <w:autoSpaceDE w:val="0"/>
        <w:autoSpaceDN w:val="0"/>
        <w:adjustRightInd w:val="0"/>
        <w:spacing w:after="0" w:line="240" w:lineRule="auto"/>
        <w:jc w:val="both"/>
        <w:rPr>
          <w:rFonts w:ascii="Times New Roman" w:hAnsi="Times New Roman" w:cs="Times New Roman"/>
          <w:spacing w:val="-1"/>
          <w:sz w:val="28"/>
          <w:szCs w:val="28"/>
        </w:rPr>
      </w:pPr>
    </w:p>
    <w:p w:rsidR="008B6C17" w:rsidRPr="007F425D" w:rsidRDefault="008B6C17" w:rsidP="007F425D">
      <w:pPr>
        <w:autoSpaceDE w:val="0"/>
        <w:autoSpaceDN w:val="0"/>
        <w:adjustRightInd w:val="0"/>
        <w:spacing w:after="0" w:line="240" w:lineRule="auto"/>
        <w:jc w:val="right"/>
        <w:rPr>
          <w:rFonts w:ascii="Times New Roman" w:hAnsi="Times New Roman" w:cs="Times New Roman"/>
          <w:spacing w:val="-1"/>
          <w:sz w:val="28"/>
          <w:szCs w:val="28"/>
        </w:rPr>
      </w:pPr>
      <w:r w:rsidRPr="007F425D">
        <w:rPr>
          <w:rFonts w:ascii="Times New Roman" w:hAnsi="Times New Roman" w:cs="Times New Roman"/>
          <w:spacing w:val="-1"/>
          <w:sz w:val="28"/>
          <w:szCs w:val="28"/>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95"/>
        <w:gridCol w:w="3762"/>
        <w:gridCol w:w="1626"/>
        <w:gridCol w:w="3762"/>
      </w:tblGrid>
      <w:tr w:rsidR="008B6C17" w:rsidRPr="007F425D">
        <w:trPr>
          <w:trHeight w:val="645"/>
          <w:tblHeader/>
          <w:jc w:val="center"/>
        </w:trPr>
        <w:tc>
          <w:tcPr>
            <w:tcW w:w="357"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1909"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825" w:type="pct"/>
            <w:tcBorders>
              <w:top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Средние показатели</w:t>
            </w:r>
          </w:p>
        </w:tc>
        <w:tc>
          <w:tcPr>
            <w:tcW w:w="1910" w:type="pct"/>
            <w:tcBorders>
              <w:top w:val="single" w:sz="4" w:space="0" w:color="auto"/>
            </w:tcBorders>
          </w:tcPr>
          <w:p w:rsidR="008B6C17" w:rsidRPr="007F425D" w:rsidRDefault="008B6C17" w:rsidP="007F425D">
            <w:pPr>
              <w:pStyle w:val="10"/>
              <w:spacing w:before="0" w:after="0"/>
              <w:jc w:val="both"/>
              <w:rPr>
                <w:rFonts w:ascii="Times New Roman" w:hAnsi="Times New Roman" w:cs="Times New Roman"/>
                <w:sz w:val="24"/>
                <w:szCs w:val="24"/>
              </w:rPr>
            </w:pPr>
            <w:r w:rsidRPr="007F425D">
              <w:rPr>
                <w:rFonts w:ascii="Times New Roman" w:hAnsi="Times New Roman" w:cs="Times New Roman"/>
                <w:sz w:val="24"/>
                <w:szCs w:val="24"/>
              </w:rPr>
              <w:t>ПДК, ГОСТ 2761-84</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Цветность, град</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Мутность,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0,9</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Запах, балл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Привкус</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pH, ед.pH</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6-9</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Жесткость общ.</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4,0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7,0</w:t>
            </w:r>
          </w:p>
        </w:tc>
      </w:tr>
      <w:tr w:rsidR="008B6C17" w:rsidRPr="007F425D">
        <w:trPr>
          <w:trHeight w:val="622"/>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Окисляемость перманганатная,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1,707</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Сухой остаток,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Аммиак, ионы аммония сумм,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Нитрит-ион,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0,002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Нитрат-ион,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9,35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Хлорид-ион,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22,0</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Сульфат-ион,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90,79</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Полифосфат-ион,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Алюминий,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0,015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0,5</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Железо сумм,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0,092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Марганец ,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0,002</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0,1</w:t>
            </w:r>
          </w:p>
        </w:tc>
      </w:tr>
      <w:tr w:rsidR="008B6C17" w:rsidRPr="007F425D">
        <w:trPr>
          <w:jc w:val="center"/>
        </w:trPr>
        <w:tc>
          <w:tcPr>
            <w:tcW w:w="357" w:type="pct"/>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1909"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Медь, мг/л</w:t>
            </w:r>
          </w:p>
        </w:tc>
        <w:tc>
          <w:tcPr>
            <w:tcW w:w="825"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0,05</w:t>
            </w:r>
          </w:p>
        </w:tc>
        <w:tc>
          <w:tcPr>
            <w:tcW w:w="1910" w:type="pct"/>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r w:rsidR="008B6C17" w:rsidRPr="007F425D">
        <w:trPr>
          <w:jc w:val="center"/>
        </w:trPr>
        <w:tc>
          <w:tcPr>
            <w:tcW w:w="357" w:type="pct"/>
            <w:tcBorders>
              <w:bottom w:val="single" w:sz="4" w:space="0" w:color="auto"/>
            </w:tcBorders>
            <w:vAlign w:val="center"/>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20</w:t>
            </w:r>
          </w:p>
        </w:tc>
        <w:tc>
          <w:tcPr>
            <w:tcW w:w="1909"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Фторид-ион, мг/л</w:t>
            </w:r>
          </w:p>
        </w:tc>
        <w:tc>
          <w:tcPr>
            <w:tcW w:w="825"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0,387</w:t>
            </w:r>
          </w:p>
        </w:tc>
        <w:tc>
          <w:tcPr>
            <w:tcW w:w="1910" w:type="pct"/>
            <w:tcBorders>
              <w:bottom w:val="single" w:sz="4" w:space="0" w:color="auto"/>
            </w:tcBorders>
          </w:tcPr>
          <w:p w:rsidR="008B6C17" w:rsidRPr="007F425D" w:rsidRDefault="008B6C17" w:rsidP="007F425D">
            <w:pPr>
              <w:pStyle w:val="10"/>
              <w:jc w:val="both"/>
              <w:rPr>
                <w:rFonts w:ascii="Times New Roman" w:hAnsi="Times New Roman" w:cs="Times New Roman"/>
                <w:sz w:val="24"/>
                <w:szCs w:val="24"/>
              </w:rPr>
            </w:pPr>
            <w:r w:rsidRPr="007F425D">
              <w:rPr>
                <w:rFonts w:ascii="Times New Roman" w:hAnsi="Times New Roman" w:cs="Times New Roman"/>
                <w:sz w:val="24"/>
                <w:szCs w:val="24"/>
              </w:rPr>
              <w:t>-</w:t>
            </w:r>
          </w:p>
        </w:tc>
      </w:tr>
    </w:tbl>
    <w:p w:rsidR="008B6C17" w:rsidRPr="007F425D" w:rsidRDefault="008B6C17" w:rsidP="007F425D">
      <w:pPr>
        <w:tabs>
          <w:tab w:val="left" w:pos="1080"/>
        </w:tabs>
        <w:spacing w:after="0" w:line="240" w:lineRule="auto"/>
        <w:ind w:firstLine="709"/>
        <w:jc w:val="center"/>
        <w:rPr>
          <w:rFonts w:ascii="Times New Roman" w:hAnsi="Times New Roman" w:cs="Times New Roman"/>
          <w:b/>
          <w:bCs/>
          <w:sz w:val="24"/>
          <w:szCs w:val="24"/>
        </w:rPr>
      </w:pPr>
    </w:p>
    <w:p w:rsidR="008B6C17" w:rsidRPr="007F425D" w:rsidRDefault="008B6C17" w:rsidP="007F425D">
      <w:pPr>
        <w:tabs>
          <w:tab w:val="left" w:pos="1080"/>
        </w:tabs>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Поселок Вьюжный</w:t>
      </w:r>
    </w:p>
    <w:p w:rsidR="008B6C17" w:rsidRPr="007F425D" w:rsidRDefault="008B6C17" w:rsidP="007F425D">
      <w:pPr>
        <w:tabs>
          <w:tab w:val="left" w:pos="1080"/>
        </w:tabs>
        <w:spacing w:after="0" w:line="240" w:lineRule="auto"/>
        <w:ind w:firstLine="709"/>
        <w:jc w:val="center"/>
        <w:rPr>
          <w:rFonts w:ascii="Times New Roman" w:hAnsi="Times New Roman" w:cs="Times New Roman"/>
          <w:b/>
          <w:bCs/>
          <w:sz w:val="28"/>
          <w:szCs w:val="28"/>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ОАО «Волчанское» осуществляет в поселке Вьюжный услуги подъема и транспортировки питьевой воды потребителям поселка. Для оказания услуг подъема эксплуатируется  два участка месторождения подземных питьевых вод. Водопользователем  ОАО  «Волчанское»  в 2011 год, получена лицензия № 02518 вида СВЕ серии ВЭ, действующей до 30.04.2033 года, на пользование недрами, добычу питьевых подземных вод  на водозаборных участках (В/У Волчанское, Волчанский ГО, п.Вьюжный, в 0,64-0,67 км.,  южнее жилой застройки (номер по ГУВ-1058) предназначено для хозяйственно-питьевого и производственно-технического водоснабжения. Источником  хоз-питьевого  водоснабжения п.Вьюжный являются артезианские скважины  (№1, №2 и №3-рез.) ОАО «Волчанское» с прогнозными эксплуатационными ресурсами 360-470 м3/сут. («Гидрогеологическое заключение»  ОАО «Уралгидроэкспедиции» № 16969 от 18.08.2006год). Разрешенная величина водоотбора -157 тыс.м3/сут., без утверждения запасов подземных вод на 01.03.2011год.</w:t>
      </w:r>
    </w:p>
    <w:p w:rsidR="008B6C17" w:rsidRPr="007F425D" w:rsidRDefault="008B6C17" w:rsidP="007F425D">
      <w:pPr>
        <w:tabs>
          <w:tab w:val="left" w:pos="1080"/>
        </w:tabs>
        <w:spacing w:after="0" w:line="240" w:lineRule="auto"/>
        <w:ind w:firstLine="709"/>
        <w:jc w:val="both"/>
        <w:rPr>
          <w:rFonts w:ascii="Times New Roman" w:hAnsi="Times New Roman" w:cs="Times New Roman"/>
          <w:b/>
          <w:bCs/>
          <w:sz w:val="28"/>
          <w:szCs w:val="28"/>
        </w:rPr>
      </w:pPr>
      <w:r w:rsidRPr="007F425D">
        <w:rPr>
          <w:rFonts w:ascii="Times New Roman" w:hAnsi="Times New Roman" w:cs="Times New Roman"/>
          <w:sz w:val="28"/>
          <w:szCs w:val="28"/>
        </w:rPr>
        <w:t>Источником хоз-питьевого водоснабжения поселка принимаются артезианские скважины (№1, №2 и №3-рез.) ОАО «Волчанское» с прогнозными эксплуатационными ресурсами 360-470 м3/сут.</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Зоны санитарной охраны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вокруг скважин установлены в соответствии с расчетами, приведенными в  гидрогеологическом заключении об условиях недропользования, разработанном  ОАО «Уралгидроэкспедиция» (№16969 от 18.08.2006г).</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Границы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вокруг скважин установлены в заключении ОАО «Уралгидроэкспедиция» при эксплуатационном водоотборе из скважин до 150,7 м</w:t>
      </w:r>
      <w:r w:rsidRPr="007F425D">
        <w:rPr>
          <w:rFonts w:ascii="Times New Roman" w:hAnsi="Times New Roman" w:cs="Times New Roman"/>
          <w:sz w:val="28"/>
          <w:szCs w:val="28"/>
          <w:vertAlign w:val="superscript"/>
        </w:rPr>
        <w:t>3</w:t>
      </w:r>
      <w:r w:rsidRPr="007F425D">
        <w:rPr>
          <w:rFonts w:ascii="Times New Roman" w:hAnsi="Times New Roman" w:cs="Times New Roman"/>
          <w:sz w:val="28"/>
          <w:szCs w:val="28"/>
        </w:rPr>
        <w:t xml:space="preserve">/сут. В генплане поселка предусматривается увеличение  водопотребления (в размерах, не превышающих прогнозные эксплуатационные ресурсы по скважинам) по поселку с учетом проектируемого развития жилищно-коммунального сектора и сельскохозяйственных объектов. В связи с увеличением водопотребления по поселку  при разработке проекта зон санитарной охраны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границы зон вокруг скважин должны быть уточнены.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Размеры границ 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и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составляют:</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пояса – радиусом  50 м от каждой скважины;</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пояса – в северном и южном направлении на удалении 120 м от скважин, в   восточном на удалении 80 м от скважин, в западном – на удалении 120 м от скважин;</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 xml:space="preserve">ЗСО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 – в западном направлении на удалении 350 м от скважин – граница по полотну железной дороги, в  восточном – на удалении 100 м от скважин, в южном и северном – в 350 м от скважин.</w:t>
      </w:r>
    </w:p>
    <w:p w:rsidR="008B6C17" w:rsidRPr="007F425D" w:rsidRDefault="008B6C17" w:rsidP="007F425D">
      <w:pPr>
        <w:pStyle w:val="BodyTextIndent"/>
        <w:tabs>
          <w:tab w:val="left" w:pos="1080"/>
        </w:tabs>
        <w:ind w:firstLine="709"/>
        <w:jc w:val="both"/>
        <w:rPr>
          <w:rFonts w:ascii="Times New Roman" w:hAnsi="Times New Roman" w:cs="Times New Roman"/>
        </w:rPr>
      </w:pPr>
      <w:r w:rsidRPr="007F425D">
        <w:rPr>
          <w:rFonts w:ascii="Times New Roman" w:hAnsi="Times New Roman" w:cs="Times New Roman"/>
        </w:rPr>
        <w:t xml:space="preserve">Проектом  генерального плана определены нормативные размеры санитарно-защитных зон промышленных предприятий и коммунальных объектов пос. Вьюжный, установленные  с учетом суммарных выбросов в атмосферный воздух и физического воздействия источников, в соответствии с санитарной классификации СанПиН 2.2.1/2.1.1.1200-03.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Нормативные размеры СЗЗ приведены в таблице 5</w:t>
      </w:r>
    </w:p>
    <w:p w:rsidR="008B6C17" w:rsidRPr="007F425D" w:rsidRDefault="008B6C17" w:rsidP="007F425D">
      <w:pPr>
        <w:tabs>
          <w:tab w:val="left" w:pos="1080"/>
        </w:tabs>
        <w:spacing w:line="240" w:lineRule="auto"/>
        <w:ind w:firstLine="720"/>
        <w:jc w:val="right"/>
        <w:rPr>
          <w:rFonts w:ascii="Times New Roman" w:hAnsi="Times New Roman" w:cs="Times New Roman"/>
          <w:sz w:val="28"/>
          <w:szCs w:val="28"/>
        </w:rPr>
      </w:pPr>
      <w:r w:rsidRPr="007F425D">
        <w:rPr>
          <w:rFonts w:ascii="Times New Roman" w:hAnsi="Times New Roman" w:cs="Times New Roman"/>
          <w:sz w:val="28"/>
          <w:szCs w:val="28"/>
        </w:rPr>
        <w:t>Таблица 13</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3"/>
        <w:gridCol w:w="3052"/>
        <w:gridCol w:w="1843"/>
        <w:gridCol w:w="1843"/>
        <w:gridCol w:w="2264"/>
      </w:tblGrid>
      <w:tr w:rsidR="008B6C17" w:rsidRPr="007F425D">
        <w:trPr>
          <w:cantSplit/>
          <w:tblHeader/>
        </w:trPr>
        <w:tc>
          <w:tcPr>
            <w:tcW w:w="410"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по</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экспл.</w:t>
            </w:r>
          </w:p>
        </w:tc>
        <w:tc>
          <w:tcPr>
            <w:tcW w:w="1606"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предприятия</w:t>
            </w:r>
          </w:p>
        </w:tc>
        <w:tc>
          <w:tcPr>
            <w:tcW w:w="889" w:type="pct"/>
            <w:vAlign w:val="center"/>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 xml:space="preserve">Сан. классификация по СанПиН 2.2.1/2.1.120003 </w:t>
            </w:r>
          </w:p>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на 01.01.2007</w:t>
            </w:r>
          </w:p>
        </w:tc>
        <w:tc>
          <w:tcPr>
            <w:tcW w:w="889" w:type="pct"/>
            <w:vAlign w:val="center"/>
          </w:tcPr>
          <w:p w:rsidR="008B6C17" w:rsidRPr="007F425D" w:rsidRDefault="008B6C17" w:rsidP="007F425D">
            <w:pPr>
              <w:pStyle w:val="BodyText2"/>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Размер СЗЗ на 01.01.2007</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СанПиН 2.2.1/2.1.120003</w:t>
            </w:r>
          </w:p>
        </w:tc>
        <w:tc>
          <w:tcPr>
            <w:tcW w:w="1206"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Примечание</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(СанПиН 2.2.1./2.1.1200-03)</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Новая редакция</w:t>
            </w:r>
          </w:p>
        </w:tc>
      </w:tr>
      <w:tr w:rsidR="008B6C17" w:rsidRPr="007F425D">
        <w:trPr>
          <w:cantSplit/>
          <w:tblHeader/>
        </w:trPr>
        <w:tc>
          <w:tcPr>
            <w:tcW w:w="410" w:type="pct"/>
          </w:tcPr>
          <w:p w:rsidR="008B6C17" w:rsidRPr="007F425D" w:rsidRDefault="008B6C17" w:rsidP="007F425D">
            <w:pPr>
              <w:tabs>
                <w:tab w:val="center" w:pos="197"/>
              </w:tabs>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ab/>
              <w:t>1.</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Тепличное хозяйство</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p w:rsidR="008B6C17" w:rsidRPr="007F425D" w:rsidRDefault="008B6C17" w:rsidP="007F425D">
            <w:pPr>
              <w:spacing w:line="240" w:lineRule="auto"/>
              <w:jc w:val="both"/>
              <w:rPr>
                <w:rFonts w:ascii="Times New Roman" w:hAnsi="Times New Roman" w:cs="Times New Roman"/>
                <w:sz w:val="24"/>
                <w:szCs w:val="24"/>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p w:rsidR="008B6C17" w:rsidRPr="007F425D" w:rsidRDefault="008B6C17" w:rsidP="007F425D">
            <w:pPr>
              <w:spacing w:line="240" w:lineRule="auto"/>
              <w:jc w:val="both"/>
              <w:rPr>
                <w:rFonts w:ascii="Times New Roman" w:hAnsi="Times New Roman" w:cs="Times New Roman"/>
                <w:sz w:val="24"/>
                <w:szCs w:val="24"/>
              </w:rPr>
            </w:pP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(7.1.11- 100м – п.1)</w:t>
            </w:r>
          </w:p>
        </w:tc>
      </w:tr>
      <w:tr w:rsidR="008B6C17" w:rsidRPr="007F425D">
        <w:trPr>
          <w:cantSplit/>
          <w:tblHeader/>
        </w:trPr>
        <w:tc>
          <w:tcPr>
            <w:tcW w:w="410" w:type="pct"/>
          </w:tcPr>
          <w:p w:rsidR="008B6C17" w:rsidRPr="007F425D" w:rsidRDefault="008B6C17" w:rsidP="007F425D">
            <w:pPr>
              <w:tabs>
                <w:tab w:val="center" w:pos="197"/>
              </w:tabs>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16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Склад ГСМ</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(7.1.11 – 100м – п.7)</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Машинотракторные мастерские </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(не функционируют)</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(7.1.12-100м – п.2</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16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Ферма крупного рогатого скота:</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Площадка содержания дойного стада менее 1200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300</w:t>
            </w:r>
          </w:p>
          <w:p w:rsidR="008B6C17" w:rsidRPr="007F425D" w:rsidRDefault="008B6C17" w:rsidP="007F425D">
            <w:pPr>
              <w:spacing w:line="240" w:lineRule="auto"/>
              <w:jc w:val="both"/>
              <w:rPr>
                <w:rFonts w:ascii="Times New Roman" w:hAnsi="Times New Roman" w:cs="Times New Roman"/>
                <w:sz w:val="24"/>
                <w:szCs w:val="24"/>
              </w:rPr>
            </w:pP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p>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 300м – п.2)</w:t>
            </w:r>
          </w:p>
          <w:p w:rsidR="008B6C17" w:rsidRPr="007F425D" w:rsidRDefault="008B6C17" w:rsidP="007F425D">
            <w:pPr>
              <w:spacing w:line="240" w:lineRule="auto"/>
              <w:jc w:val="both"/>
              <w:rPr>
                <w:rFonts w:ascii="Times New Roman" w:hAnsi="Times New Roman" w:cs="Times New Roman"/>
                <w:sz w:val="24"/>
                <w:szCs w:val="24"/>
              </w:rPr>
            </w:pP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Площадка содержания молодняка до 100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00м – п.</w:t>
            </w:r>
            <w:r w:rsidRPr="007F425D">
              <w:rPr>
                <w:rFonts w:ascii="Times New Roman" w:hAnsi="Times New Roman" w:cs="Times New Roman"/>
                <w:sz w:val="24"/>
                <w:szCs w:val="24"/>
                <w:lang w:val="en-US"/>
              </w:rPr>
              <w:t>6</w:t>
            </w:r>
            <w:r w:rsidRPr="007F425D">
              <w:rPr>
                <w:rFonts w:ascii="Times New Roman" w:hAnsi="Times New Roman" w:cs="Times New Roman"/>
                <w:sz w:val="24"/>
                <w:szCs w:val="24"/>
              </w:rPr>
              <w:t>)</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Ферма по выращиванию свиней (до 100 голов)</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IV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00м – п.</w:t>
            </w:r>
            <w:r w:rsidRPr="007F425D">
              <w:rPr>
                <w:rFonts w:ascii="Times New Roman" w:hAnsi="Times New Roman" w:cs="Times New Roman"/>
                <w:sz w:val="24"/>
                <w:szCs w:val="24"/>
                <w:lang w:val="en-US"/>
              </w:rPr>
              <w:t>6</w:t>
            </w:r>
            <w:r w:rsidRPr="007F425D">
              <w:rPr>
                <w:rFonts w:ascii="Times New Roman" w:hAnsi="Times New Roman" w:cs="Times New Roman"/>
                <w:sz w:val="24"/>
                <w:szCs w:val="24"/>
              </w:rPr>
              <w:t>)</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16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Материальные склады</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lang w:val="en-US"/>
              </w:rPr>
              <w:t>V</w:t>
            </w: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50</w:t>
            </w:r>
          </w:p>
        </w:tc>
        <w:tc>
          <w:tcPr>
            <w:tcW w:w="1206"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r w:rsidRPr="007F425D">
              <w:rPr>
                <w:rFonts w:ascii="Times New Roman" w:hAnsi="Times New Roman" w:cs="Times New Roman"/>
                <w:sz w:val="24"/>
                <w:szCs w:val="24"/>
                <w:lang w:val="en-US"/>
              </w:rPr>
              <w:t>1</w:t>
            </w:r>
            <w:r w:rsidRPr="007F425D">
              <w:rPr>
                <w:rFonts w:ascii="Times New Roman" w:hAnsi="Times New Roman" w:cs="Times New Roman"/>
                <w:sz w:val="24"/>
                <w:szCs w:val="24"/>
              </w:rPr>
              <w:t xml:space="preserve"> – 50м – п.2)</w:t>
            </w: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8.</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Бойня (скотоубойный объект мощностью 50-500 тонн в сутки)</w:t>
            </w:r>
          </w:p>
        </w:tc>
        <w:tc>
          <w:tcPr>
            <w:tcW w:w="889" w:type="pct"/>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lang w:val="en-US"/>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300</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(7.1.8 – 300м – п.2)</w:t>
            </w:r>
          </w:p>
          <w:p w:rsidR="008B6C17" w:rsidRPr="007F425D" w:rsidRDefault="008B6C17" w:rsidP="007F425D">
            <w:pPr>
              <w:spacing w:line="240" w:lineRule="auto"/>
              <w:jc w:val="both"/>
              <w:rPr>
                <w:rFonts w:ascii="Times New Roman" w:hAnsi="Times New Roman" w:cs="Times New Roman"/>
                <w:sz w:val="24"/>
                <w:szCs w:val="24"/>
              </w:rPr>
            </w:pPr>
          </w:p>
        </w:tc>
      </w:tr>
      <w:tr w:rsidR="008B6C17" w:rsidRPr="007F425D">
        <w:trPr>
          <w:cantSplit/>
          <w:tblHeader/>
        </w:trPr>
        <w:tc>
          <w:tcPr>
            <w:tcW w:w="410"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9.</w:t>
            </w:r>
          </w:p>
        </w:tc>
        <w:tc>
          <w:tcPr>
            <w:tcW w:w="1606" w:type="pct"/>
          </w:tcPr>
          <w:p w:rsidR="008B6C17" w:rsidRPr="007F425D" w:rsidRDefault="008B6C17" w:rsidP="007F425D">
            <w:pPr>
              <w:pStyle w:val="Header"/>
              <w:spacing w:line="240" w:lineRule="auto"/>
              <w:rPr>
                <w:rFonts w:ascii="Times New Roman" w:hAnsi="Times New Roman" w:cs="Times New Roman"/>
                <w:sz w:val="24"/>
                <w:szCs w:val="24"/>
                <w:lang w:val="ru-RU"/>
              </w:rPr>
            </w:pPr>
            <w:r w:rsidRPr="007F425D">
              <w:rPr>
                <w:rFonts w:ascii="Times New Roman" w:hAnsi="Times New Roman" w:cs="Times New Roman"/>
                <w:sz w:val="24"/>
                <w:szCs w:val="24"/>
                <w:lang w:val="ru-RU"/>
              </w:rPr>
              <w:t>Навозохранилище (площадка для буртования навоза)</w:t>
            </w:r>
          </w:p>
        </w:tc>
        <w:tc>
          <w:tcPr>
            <w:tcW w:w="889" w:type="pct"/>
          </w:tcPr>
          <w:p w:rsidR="008B6C17" w:rsidRPr="007F425D" w:rsidRDefault="008B6C17" w:rsidP="007F425D">
            <w:pPr>
              <w:spacing w:line="240" w:lineRule="auto"/>
              <w:jc w:val="both"/>
              <w:rPr>
                <w:rFonts w:ascii="Times New Roman" w:hAnsi="Times New Roman" w:cs="Times New Roman"/>
                <w:sz w:val="24"/>
                <w:szCs w:val="24"/>
                <w:lang w:val="en-US"/>
              </w:rPr>
            </w:pPr>
            <w:r w:rsidRPr="007F425D">
              <w:rPr>
                <w:rFonts w:ascii="Times New Roman" w:hAnsi="Times New Roman" w:cs="Times New Roman"/>
                <w:sz w:val="24"/>
                <w:szCs w:val="24"/>
                <w:lang w:val="en-US"/>
              </w:rPr>
              <w:t>III</w:t>
            </w:r>
          </w:p>
          <w:p w:rsidR="008B6C17" w:rsidRPr="007F425D" w:rsidRDefault="008B6C17" w:rsidP="007F425D">
            <w:pPr>
              <w:spacing w:line="240" w:lineRule="auto"/>
              <w:jc w:val="both"/>
              <w:rPr>
                <w:rFonts w:ascii="Times New Roman" w:hAnsi="Times New Roman" w:cs="Times New Roman"/>
                <w:sz w:val="24"/>
                <w:szCs w:val="24"/>
                <w:lang w:val="en-US"/>
              </w:rPr>
            </w:pPr>
          </w:p>
        </w:tc>
        <w:tc>
          <w:tcPr>
            <w:tcW w:w="889"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300</w:t>
            </w:r>
          </w:p>
        </w:tc>
        <w:tc>
          <w:tcPr>
            <w:tcW w:w="1206" w:type="pct"/>
          </w:tcPr>
          <w:p w:rsidR="008B6C17" w:rsidRPr="007F425D" w:rsidRDefault="008B6C17" w:rsidP="007F425D">
            <w:pPr>
              <w:pStyle w:val="Header"/>
              <w:spacing w:line="240" w:lineRule="auto"/>
              <w:rPr>
                <w:rFonts w:ascii="Times New Roman" w:hAnsi="Times New Roman" w:cs="Times New Roman"/>
                <w:sz w:val="24"/>
                <w:szCs w:val="24"/>
              </w:rPr>
            </w:pPr>
            <w:r w:rsidRPr="007F425D">
              <w:rPr>
                <w:rFonts w:ascii="Times New Roman" w:hAnsi="Times New Roman" w:cs="Times New Roman"/>
                <w:sz w:val="24"/>
                <w:szCs w:val="24"/>
              </w:rPr>
              <w:t>(7.1.11 – 300м – п.5)</w:t>
            </w:r>
          </w:p>
          <w:p w:rsidR="008B6C17" w:rsidRPr="007F425D" w:rsidRDefault="008B6C17" w:rsidP="007F425D">
            <w:pPr>
              <w:spacing w:line="240" w:lineRule="auto"/>
              <w:jc w:val="both"/>
              <w:rPr>
                <w:rFonts w:ascii="Times New Roman" w:hAnsi="Times New Roman" w:cs="Times New Roman"/>
                <w:sz w:val="24"/>
                <w:szCs w:val="24"/>
              </w:rPr>
            </w:pPr>
          </w:p>
        </w:tc>
      </w:tr>
    </w:tbl>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артезианскими скважинами (пресными подземными водами в южном, северном и западном дренажных узлах) в г.Волчанске пользуются организации-недропользователи, промышленные предприятия: филиал «Волчанский разрез» ОАО «Волчанский уголь», Волчанский механический завод ОАО «Научно-производственная корпорация Уралвагонзавод имени Ф.Э.Дзержинского». Согласно лицензии № 02915 вида СВЕ серии ВЭ (31.03.2013г.),протокола НТС ПГО «Уралгеология» от 30.11.1982г. №64 и ТКЗ №8 от28.08.1981г., подземные воды используют как  хозяйственно-питьевого, так и производственно-технического водоснабжения. Месторасположение участка: Волчанское МПВ, Дренажный участок, Волчанское ГО, разрез Волчанский. Действие лицензии завершен.</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Предприятие Волчанский  механический  завод -  филиал  ОАО  «Научно-производственная корпорация  «Уралвагонзавод» оказывает  услуги  холодного  водоснабжения на территории города. Вода из скважин № 14, 15 подается глубинными насосами (ЭЦВ 12-63 45 кВт) в резервуары  холодной  воды V = 500 куб.м., затем после  резервуаров  вода  попадает потребителям  через  сетевые насосы. Водоподготовка  не  осуществляется. Водозаборные сооружения, представляют артезианские скважины, оборудованные глубинными насосами. Технические характеристики водозаборных сооружений приведены в таблице 5</w:t>
      </w:r>
    </w:p>
    <w:p w:rsidR="008B6C17" w:rsidRPr="007F425D" w:rsidRDefault="008B6C17" w:rsidP="007F425D">
      <w:pPr>
        <w:tabs>
          <w:tab w:val="left" w:pos="1080"/>
        </w:tabs>
        <w:spacing w:line="240" w:lineRule="auto"/>
        <w:jc w:val="right"/>
        <w:rPr>
          <w:rFonts w:ascii="Times New Roman" w:hAnsi="Times New Roman" w:cs="Times New Roman"/>
          <w:sz w:val="28"/>
          <w:szCs w:val="28"/>
        </w:rPr>
      </w:pPr>
      <w:r w:rsidRPr="007F425D">
        <w:rPr>
          <w:rFonts w:ascii="Times New Roman" w:hAnsi="Times New Roman" w:cs="Times New Roman"/>
          <w:sz w:val="28"/>
          <w:szCs w:val="28"/>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2"/>
        <w:gridCol w:w="4223"/>
        <w:gridCol w:w="3870"/>
      </w:tblGrid>
      <w:tr w:rsidR="008B6C17" w:rsidRPr="007F425D">
        <w:trPr>
          <w:jc w:val="center"/>
        </w:trPr>
        <w:tc>
          <w:tcPr>
            <w:tcW w:w="89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Источник водоснабжения</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Тип водоприемного устройства</w:t>
            </w:r>
          </w:p>
        </w:tc>
      </w:tr>
      <w:tr w:rsidR="008B6C17" w:rsidRPr="007F425D">
        <w:trPr>
          <w:jc w:val="center"/>
        </w:trPr>
        <w:tc>
          <w:tcPr>
            <w:tcW w:w="893"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Артезианская скважина №14</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Глубинный насос</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ЭЦВ 12-63 45 кВт</w:t>
            </w:r>
          </w:p>
        </w:tc>
      </w:tr>
      <w:tr w:rsidR="008B6C17" w:rsidRPr="007F425D">
        <w:trPr>
          <w:jc w:val="center"/>
        </w:trPr>
        <w:tc>
          <w:tcPr>
            <w:tcW w:w="893" w:type="pct"/>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2143"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Артезианская скважина №15</w:t>
            </w:r>
          </w:p>
        </w:tc>
        <w:tc>
          <w:tcPr>
            <w:tcW w:w="1965" w:type="pct"/>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Глубинный насос</w:t>
            </w:r>
          </w:p>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ЭЦВ 12-63 45 кВт</w:t>
            </w:r>
          </w:p>
        </w:tc>
      </w:tr>
    </w:tbl>
    <w:p w:rsidR="008B6C17" w:rsidRPr="007F425D" w:rsidRDefault="008B6C17" w:rsidP="007F425D">
      <w:pPr>
        <w:pStyle w:val="Heading3"/>
        <w:spacing w:before="0" w:line="240" w:lineRule="auto"/>
        <w:jc w:val="center"/>
        <w:rPr>
          <w:rFonts w:ascii="Times New Roman" w:hAnsi="Times New Roman" w:cs="Times New Roman"/>
          <w:color w:val="000000"/>
          <w:sz w:val="28"/>
          <w:szCs w:val="28"/>
        </w:rPr>
      </w:pPr>
    </w:p>
    <w:p w:rsidR="008B6C17" w:rsidRPr="007F425D" w:rsidRDefault="008B6C17" w:rsidP="007F425D">
      <w:pPr>
        <w:pStyle w:val="Heading3"/>
        <w:spacing w:before="0" w:line="240" w:lineRule="auto"/>
        <w:jc w:val="center"/>
        <w:rPr>
          <w:rFonts w:ascii="Times New Roman" w:hAnsi="Times New Roman" w:cs="Times New Roman"/>
          <w:color w:val="000000"/>
          <w:sz w:val="28"/>
          <w:szCs w:val="28"/>
        </w:rPr>
      </w:pPr>
      <w:r w:rsidRPr="007F425D">
        <w:rPr>
          <w:rFonts w:ascii="Times New Roman" w:hAnsi="Times New Roman" w:cs="Times New Roman"/>
          <w:color w:val="000000"/>
          <w:sz w:val="28"/>
          <w:szCs w:val="28"/>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p>
    <w:p w:rsidR="008B6C17" w:rsidRPr="007F425D" w:rsidRDefault="008B6C17" w:rsidP="007F425D">
      <w:pPr>
        <w:spacing w:after="0" w:line="240" w:lineRule="auto"/>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Комплекс водоочистных сооружений (КВОС).</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Для оказания услуг по обеспечению водоснабжения населения и промышленных предприятий города, МУП «Водоканал» эксплуатирует комплекс водоочистных сооружений (КВОС). Комплекс  очистных сооружений северной и южной части города расположен по адресу: Российская Федерация, Свердловская область, г. Волчанск, ул. Пионерская, д. 14. </w:t>
      </w:r>
    </w:p>
    <w:p w:rsidR="008B6C17" w:rsidRPr="007F425D" w:rsidRDefault="008B6C17" w:rsidP="007F425D">
      <w:pPr>
        <w:pStyle w:val="ConsPlusNormal"/>
        <w:widowControl/>
        <w:ind w:firstLine="709"/>
        <w:jc w:val="both"/>
        <w:rPr>
          <w:rFonts w:ascii="Times New Roman" w:hAnsi="Times New Roman" w:cs="Times New Roman"/>
          <w:sz w:val="28"/>
          <w:szCs w:val="28"/>
        </w:rPr>
      </w:pPr>
      <w:r w:rsidRPr="007F425D">
        <w:rPr>
          <w:rFonts w:ascii="Times New Roman" w:hAnsi="Times New Roman" w:cs="Times New Roman"/>
          <w:sz w:val="28"/>
          <w:szCs w:val="28"/>
        </w:rPr>
        <w:t>Объект «Хозяйственно питьевого водоснабжения» размещён на участке городского водоснабжения ул.Инженерная 1 – ул.Инженерная 2 производительностью12,5 тыс.м</w:t>
      </w:r>
      <w:r w:rsidRPr="007F425D">
        <w:rPr>
          <w:rFonts w:ascii="Times New Roman" w:hAnsi="Times New Roman" w:cs="Times New Roman"/>
          <w:sz w:val="28"/>
          <w:szCs w:val="28"/>
          <w:vertAlign w:val="superscript"/>
        </w:rPr>
        <w:t xml:space="preserve">3 </w:t>
      </w:r>
      <w:r w:rsidRPr="007F425D">
        <w:rPr>
          <w:rFonts w:ascii="Times New Roman" w:hAnsi="Times New Roman" w:cs="Times New Roman"/>
          <w:sz w:val="28"/>
          <w:szCs w:val="28"/>
        </w:rPr>
        <w:t>.</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Станция обезжелезивания воды подземных источников производительностью 12,5 тыс.м³/сутки построена  по типовому проекту 901-3-4, тип 1,0. Сооружения построены и пущены в эксплуатацию в 1978 год. Проект строительства выполнен  заказчиком ПО «Вахрушевуголь» и</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подрядчиком – трест «Базстрой». С 01.06.2010 год станция обезжелезивания находится в эксплуатации МУП «Водоканал».</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(далее – ЗСО). Проект ЗСО Северо-Волчанского и Лиховского водозаборов – источников питьевого, хозяйственно-бытового и технологического водоснабжеия г.Волчанска разработан</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ООО «Экомстройпроект»  03.12. 2013 году</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и утвержден  приказом № 842 от 3.12.2013 год, министерством природных ресурсов и экологии Свердловской области.</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Зоны санитарной охраны (ЗСО) вокруг скважин Волчанского МПВ определены в соответствии с гидрогеологическим заключением № 115/13 по обоснованию размеров зоны санитарной охраны Северо-Волчанского и Лиховского водозаборных участков Волчанского месторождения подземных вод, выполненного ООО «Экомстройпроект».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соответствии с требованиями СанПиН 2.1.4.1110-02 «Зоны санитарной охраны источников водоснабжения и водопроводов хозяйственно-питьевого назначения» вокруг подземного водоисточника хозяйственно-питьевого назначения и на основании расчетов, приведенных в заключении границы ЗСО для Северо-Волчанского и Лиховского участков установлена зона санитарной охраны (ЗСО) в составе трех поясов (</w:t>
      </w:r>
      <w:r w:rsidRPr="007F425D">
        <w:rPr>
          <w:rFonts w:ascii="Times New Roman" w:hAnsi="Times New Roman" w:cs="Times New Roman"/>
          <w:sz w:val="28"/>
          <w:szCs w:val="28"/>
          <w:lang w:val="en-US"/>
        </w:rPr>
        <w:t>I</w:t>
      </w:r>
      <w:r w:rsidRPr="007F425D">
        <w:rPr>
          <w:rFonts w:ascii="Times New Roman" w:hAnsi="Times New Roman" w:cs="Times New Roman"/>
          <w:sz w:val="28"/>
          <w:szCs w:val="28"/>
        </w:rPr>
        <w:t xml:space="preserve"> ,  </w:t>
      </w:r>
      <w:r w:rsidRPr="007F425D">
        <w:rPr>
          <w:rFonts w:ascii="Times New Roman" w:hAnsi="Times New Roman" w:cs="Times New Roman"/>
          <w:sz w:val="28"/>
          <w:szCs w:val="28"/>
          <w:lang w:val="en-US"/>
        </w:rPr>
        <w:t>II</w:t>
      </w:r>
      <w:r w:rsidRPr="007F425D">
        <w:rPr>
          <w:rFonts w:ascii="Times New Roman" w:hAnsi="Times New Roman" w:cs="Times New Roman"/>
          <w:sz w:val="28"/>
          <w:szCs w:val="28"/>
        </w:rPr>
        <w:t xml:space="preserve">, </w:t>
      </w:r>
      <w:r w:rsidRPr="007F425D">
        <w:rPr>
          <w:rFonts w:ascii="Times New Roman" w:hAnsi="Times New Roman" w:cs="Times New Roman"/>
          <w:sz w:val="28"/>
          <w:szCs w:val="28"/>
          <w:lang w:val="en-US"/>
        </w:rPr>
        <w:t>III</w:t>
      </w:r>
      <w:r w:rsidRPr="007F425D">
        <w:rPr>
          <w:rFonts w:ascii="Times New Roman" w:hAnsi="Times New Roman" w:cs="Times New Roman"/>
          <w:sz w:val="28"/>
          <w:szCs w:val="28"/>
        </w:rPr>
        <w:t xml:space="preserve"> пояса):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 Северо-Волчанском водозаборе расположены контактная вентиляторная  градирня, станция обезжелезивания, насосная станция второго подъема, бетонированные резервуары чистой воды, хлораторная, угольная котельная, расположенная в здании станции обезжелезивания и используемая для собственных нужд, мастерская по ремонту оборудования, отстойник промывных вод. </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Характеристика состояния и проблемы</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Из-за многолетнего отставания темпов строительства систем и сооружений водоснабжения от темпов жилищного и промышленного строительства на 01 января 2013 года в 27 населенных пунктах в Свердловской области сохраняется дефицит мощности систем водоснабжения.</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Сточные воды, прошедшие через очистные сооружения канализации, на 46 процентов остаются недоочищенными, не соответствуют нормативным требованиям,  сбрасываются в природную среду без полной очистки.</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Отсутствие чистой воды и систем канализации является одной из основных причин распространения кишечных инфекций, гепатита и болезней желудочно-кишечного тракта, возникновения патологий и усиления воздействия на организм человека канцерогенных и мутагенных факторов. В отдельных случаях отсутствие доступа к чистой воде и системам канализации может привести к массовым заболеваниям и распространению эпидемий.</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Количество населения в Свердловской области, подверженного риску заболеваний, связанных с химическим загрязнением питьевой воды, составляет 1,2 млн. человек, а с микробиологическим - 300 тыс. человек.</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ПЕРСПЕКТИВЫ РАЗВИТИЯ СИСТЕМЫ ВОДОСНАБЖЕНИЯ</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widowControl w:val="0"/>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Для развития централизованной системы водоснабжения города проектом предлагается:</w:t>
      </w:r>
    </w:p>
    <w:p w:rsidR="008B6C17" w:rsidRPr="007F425D" w:rsidRDefault="008B6C17" w:rsidP="007F425D">
      <w:pPr>
        <w:pStyle w:val="ListParagraph"/>
        <w:tabs>
          <w:tab w:val="num" w:pos="0"/>
          <w:tab w:val="num" w:pos="1080"/>
          <w:tab w:val="left" w:pos="1260"/>
          <w:tab w:val="left" w:pos="1620"/>
          <w:tab w:val="left" w:pos="1800"/>
          <w:tab w:val="left" w:pos="936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дальнейшее</w:t>
      </w:r>
      <w:r w:rsidRPr="007F425D">
        <w:rPr>
          <w:rFonts w:ascii="Times New Roman" w:hAnsi="Times New Roman" w:cs="Times New Roman"/>
          <w:b/>
          <w:bCs/>
          <w:sz w:val="28"/>
          <w:szCs w:val="28"/>
        </w:rPr>
        <w:t xml:space="preserve"> </w:t>
      </w:r>
      <w:r w:rsidRPr="007F425D">
        <w:rPr>
          <w:rFonts w:ascii="Times New Roman" w:hAnsi="Times New Roman" w:cs="Times New Roman"/>
          <w:sz w:val="28"/>
          <w:szCs w:val="28"/>
        </w:rPr>
        <w:t>освоение основного источника хоз-питьевого водоснабжения потребителей города – Волчанского МПВ;</w:t>
      </w:r>
    </w:p>
    <w:p w:rsidR="008B6C17" w:rsidRPr="007F425D" w:rsidRDefault="008B6C17" w:rsidP="007F425D">
      <w:pPr>
        <w:pStyle w:val="ListParagraph"/>
        <w:tabs>
          <w:tab w:val="num" w:pos="0"/>
          <w:tab w:val="num" w:pos="1080"/>
          <w:tab w:val="left" w:pos="1260"/>
          <w:tab w:val="left" w:pos="1620"/>
          <w:tab w:val="left" w:pos="1800"/>
          <w:tab w:val="left" w:pos="936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системы подающих водоводов от Волчанского МПВ до жилых районов «Северный» и «Южный»;</w:t>
      </w:r>
    </w:p>
    <w:p w:rsidR="008B6C17" w:rsidRPr="007F425D" w:rsidRDefault="008B6C17" w:rsidP="007F425D">
      <w:pPr>
        <w:pStyle w:val="ListParagraph"/>
        <w:tabs>
          <w:tab w:val="num" w:pos="0"/>
          <w:tab w:val="num" w:pos="1080"/>
          <w:tab w:val="left" w:pos="1260"/>
          <w:tab w:val="left" w:pos="1620"/>
          <w:tab w:val="left" w:pos="1800"/>
          <w:tab w:val="left" w:pos="936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водопроводных сооружений на площадках  насосных станций   II и  III подъема Волчанского МПВ с внедрением новых высокоэффективных технологий по очистке воды;</w:t>
      </w:r>
    </w:p>
    <w:p w:rsidR="008B6C17" w:rsidRPr="007F425D" w:rsidRDefault="008B6C17" w:rsidP="007F425D">
      <w:pPr>
        <w:pStyle w:val="ListParagraph"/>
        <w:tabs>
          <w:tab w:val="num" w:pos="0"/>
          <w:tab w:val="num" w:pos="1080"/>
          <w:tab w:val="left" w:pos="1260"/>
          <w:tab w:val="left" w:pos="1620"/>
          <w:tab w:val="left" w:pos="1800"/>
          <w:tab w:val="left" w:pos="9360"/>
        </w:tabs>
        <w:spacing w:after="0" w:line="240" w:lineRule="auto"/>
        <w:ind w:left="0"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развитие кольцевой системы водоснабжения города.</w:t>
      </w:r>
    </w:p>
    <w:p w:rsidR="008B6C17" w:rsidRPr="007F425D" w:rsidRDefault="008B6C17" w:rsidP="007F425D">
      <w:pPr>
        <w:spacing w:after="0" w:line="240" w:lineRule="auto"/>
        <w:ind w:firstLine="709"/>
        <w:jc w:val="both"/>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4.3. СИСТЕМА ВОДООТВЕДЕНИЯ</w:t>
      </w:r>
    </w:p>
    <w:p w:rsidR="008B6C17" w:rsidRPr="007F425D" w:rsidRDefault="008B6C17" w:rsidP="007F425D">
      <w:pPr>
        <w:widowControl w:val="0"/>
        <w:autoSpaceDE w:val="0"/>
        <w:autoSpaceDN w:val="0"/>
        <w:adjustRightInd w:val="0"/>
        <w:spacing w:after="0" w:line="240" w:lineRule="auto"/>
        <w:jc w:val="both"/>
        <w:outlineLvl w:val="3"/>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оказывает в г. Волчанске полный комплекс услуг водоотведения.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Особенности технологического цикла услуг канализационных очистных сооружений.</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канализационных очистных сооружений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Северные очистные сооружения канализации (СевОСК), производительностью 4,2 тыс.м.куб./сут.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Южные очистные сооружения канализации (ЮОСК), производительностью 2,8 тыс.м.куб./сут.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северных ОСК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главная канализационная насосная станция (КНС) с двумя насосами типа ФГ - 216/24;</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песколовка с круговым движением воды;</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первичные отстойники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высоконагружаемые биофильтры размером 12х12х4 м - две карты в отапливаемом помещении, </w:t>
      </w:r>
      <w:r w:rsidRPr="007F425D">
        <w:rPr>
          <w:rFonts w:ascii="Times New Roman" w:hAnsi="Times New Roman" w:cs="Times New Roman"/>
          <w:sz w:val="28"/>
          <w:szCs w:val="28"/>
          <w:lang w:val="en-US"/>
        </w:rPr>
        <w:t>Q</w:t>
      </w:r>
      <w:r w:rsidRPr="007F425D">
        <w:rPr>
          <w:rFonts w:ascii="Times New Roman" w:hAnsi="Times New Roman" w:cs="Times New Roman"/>
          <w:sz w:val="28"/>
          <w:szCs w:val="28"/>
        </w:rPr>
        <w:t xml:space="preserve"> = 4200 м.куб./сут;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КНС для перекачки сточной воды из биофильтров во вторичные отстойники и подачи технологической воды на песколовку для удаления минерального осадка (насосы ФГ-216/24 - 2 шт., 4К-6);</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вторичные отстойники - 5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хлораторная с двумя хлораторами ЛОНИИ-100;</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контактные отстойники Д = 4,5 м, Н = 4,35 м – 2 шт;                                                                                 Д = 6,0 м, Н =  4,35 м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насосная станция перекачки ила из вторичных отстойников в первичные (насосы ФГ - 216/24 - 1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песковая площадка размером 8,2 х 2,4 м - 1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иловые площадки размером 13 х 20 м - 4 шт.;</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трансформаторная подстанция 6/0,4 кВ;</w:t>
      </w:r>
    </w:p>
    <w:p w:rsidR="008B6C17" w:rsidRPr="007F425D" w:rsidRDefault="008B6C17" w:rsidP="007F425D">
      <w:pPr>
        <w:spacing w:after="0" w:line="240" w:lineRule="auto"/>
        <w:ind w:left="709"/>
        <w:jc w:val="both"/>
        <w:rPr>
          <w:rFonts w:ascii="Times New Roman" w:hAnsi="Times New Roman" w:cs="Times New Roman"/>
          <w:sz w:val="28"/>
          <w:szCs w:val="28"/>
        </w:rPr>
      </w:pPr>
      <w:r w:rsidRPr="007F425D">
        <w:rPr>
          <w:rFonts w:ascii="Times New Roman" w:hAnsi="Times New Roman" w:cs="Times New Roman"/>
          <w:sz w:val="28"/>
          <w:szCs w:val="28"/>
        </w:rPr>
        <w:t>блок   вспомогательных   служб   с   химической   лабораторией   и котельной на два котла «Энергия - ЗМ».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Контроль за качеством очистки производит водно-химическая лаборатория Сев.ОСК.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Отопление объектов ОСК осуществляется от местной котельной на твердом топливе.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Энергоснабжение осуществляется по 2-м ЛЭП 6 кВ и ТП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Водоснабжение - от хоз-питьевого водопровода, находящегося в ведении МУП «Водоканал».</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состав Южных ОСК входят: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главная  канализационная  насосная станция (КНС) с  насосами типа ФГ - 540/95 и встроенный ТП.</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напорные коллекторы Д = 200 мм, </w:t>
      </w:r>
      <w:r w:rsidRPr="007F425D">
        <w:rPr>
          <w:rFonts w:ascii="Times New Roman" w:hAnsi="Times New Roman" w:cs="Times New Roman"/>
          <w:sz w:val="28"/>
          <w:szCs w:val="28"/>
          <w:lang w:val="en-US"/>
        </w:rPr>
        <w:t>L</w:t>
      </w:r>
      <w:r w:rsidRPr="007F425D">
        <w:rPr>
          <w:rFonts w:ascii="Times New Roman" w:hAnsi="Times New Roman" w:cs="Times New Roman"/>
          <w:sz w:val="28"/>
          <w:szCs w:val="28"/>
        </w:rPr>
        <w:t xml:space="preserve"> = 4,5 км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горизонтальная песколовка;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первичные отстойники Д = 8,5 м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высоконагружаемые биофильтры размером 26,5 х 8,5 м - две карты в отапливаемом помещении;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буферные резервуары Д = 5,8 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КНС открытого типа для перекачки сточной воды во вторичные отстойники с двумя насосами СДВ - 160/45;</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вторичные вертикальные отстойники Д = 8,5 м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хлораторная с двумя хлораторами ЛОНИИ - 100;</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контактные отстойники Д = 5,8 м - 2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песковая площадка - 1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иловые площадки - 4 шт.;</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трансформаторная подстанция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блок   вспомогательных   служб   с   химической   лабораторией   и котельной на два котла «Энергия — 3 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Контроль за качеством очистки производит водно-химическая лаборатория Южных ОСК.</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Отопление объектов ОСК осуществляется от местной котельной на твердом топливе.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Энергоснабжение осуществляется по 2-м ЛЭП 6 кВ и ТП 6/04 кВ.</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Водоснабжение осуществляется по трубопроводу Д = 100 мм, </w:t>
      </w:r>
      <w:r w:rsidRPr="007F425D">
        <w:rPr>
          <w:rFonts w:ascii="Times New Roman" w:hAnsi="Times New Roman" w:cs="Times New Roman"/>
          <w:sz w:val="28"/>
          <w:szCs w:val="28"/>
          <w:lang w:val="en-US"/>
        </w:rPr>
        <w:t>L</w:t>
      </w:r>
      <w:r w:rsidRPr="007F425D">
        <w:rPr>
          <w:rFonts w:ascii="Times New Roman" w:hAnsi="Times New Roman" w:cs="Times New Roman"/>
          <w:sz w:val="28"/>
          <w:szCs w:val="28"/>
        </w:rPr>
        <w:t xml:space="preserve"> = 1500 м от хоз-питьевого водопровода, находящегося в ведении ЗАО «Волчанский уголь»  филиала «Волчанский разрез». </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b/>
          <w:bCs/>
          <w:sz w:val="28"/>
          <w:szCs w:val="28"/>
        </w:rPr>
      </w:pPr>
      <w:r w:rsidRPr="007F425D">
        <w:rPr>
          <w:rFonts w:ascii="Times New Roman" w:hAnsi="Times New Roman" w:cs="Times New Roman"/>
          <w:b/>
          <w:bCs/>
          <w:sz w:val="28"/>
          <w:szCs w:val="28"/>
        </w:rPr>
        <w:t>Особенности технологического цикла услуг канализационной сети</w:t>
      </w:r>
    </w:p>
    <w:p w:rsidR="008B6C17" w:rsidRPr="007F425D" w:rsidRDefault="008B6C17" w:rsidP="007F425D">
      <w:pPr>
        <w:spacing w:after="0" w:line="240" w:lineRule="auto"/>
        <w:ind w:firstLine="709"/>
        <w:jc w:val="both"/>
        <w:rPr>
          <w:rFonts w:ascii="Times New Roman" w:hAnsi="Times New Roman" w:cs="Times New Roman"/>
          <w:b/>
          <w:bCs/>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МУП «Водоканал» оказывает также в г. Волчанске услуги канализационной сети, как в северной, так и в южной частях города.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В северной части города сточные воды, по самотёчным коллекторам и </w:t>
      </w:r>
      <w:r w:rsidRPr="007F425D">
        <w:rPr>
          <w:rFonts w:ascii="Times New Roman" w:hAnsi="Times New Roman" w:cs="Times New Roman"/>
          <w:sz w:val="28"/>
          <w:szCs w:val="28"/>
        </w:rPr>
        <w:t xml:space="preserve">напорным, от КНС МУП «Водоканал» по ул. Первомайской с насосами ФГ -144/46 (2 шт.) и ФГ - 160/45 (1 шт.) и КНС Волчанского завода ТНП, </w:t>
      </w:r>
      <w:r w:rsidRPr="007F425D">
        <w:rPr>
          <w:rFonts w:ascii="Times New Roman" w:hAnsi="Times New Roman" w:cs="Times New Roman"/>
          <w:spacing w:val="-1"/>
          <w:sz w:val="28"/>
          <w:szCs w:val="28"/>
        </w:rPr>
        <w:t xml:space="preserve">поступают на главную КНС северных очистных сооружений канализации, </w:t>
      </w:r>
      <w:r w:rsidRPr="007F425D">
        <w:rPr>
          <w:rFonts w:ascii="Times New Roman" w:hAnsi="Times New Roman" w:cs="Times New Roman"/>
          <w:sz w:val="28"/>
          <w:szCs w:val="28"/>
        </w:rPr>
        <w:t>обеззараживаются на очистных и сбрасываются самотёком в реку Малая Волчанка.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pacing w:val="-1"/>
          <w:sz w:val="28"/>
          <w:szCs w:val="28"/>
        </w:rPr>
        <w:t xml:space="preserve">Сточные воды от абонентов южной части г. Волчанска по самотёченым </w:t>
      </w:r>
      <w:r w:rsidRPr="007F425D">
        <w:rPr>
          <w:rFonts w:ascii="Times New Roman" w:hAnsi="Times New Roman" w:cs="Times New Roman"/>
          <w:spacing w:val="-2"/>
          <w:sz w:val="28"/>
          <w:szCs w:val="28"/>
        </w:rPr>
        <w:t xml:space="preserve">коллекторам попадают в приемную камеру главной КНС южных очистных </w:t>
      </w:r>
      <w:r w:rsidRPr="007F425D">
        <w:rPr>
          <w:rFonts w:ascii="Times New Roman" w:hAnsi="Times New Roman" w:cs="Times New Roman"/>
          <w:sz w:val="28"/>
          <w:szCs w:val="28"/>
        </w:rPr>
        <w:t xml:space="preserve">сооружений канализации. Затем, по напорным коллекторам попадают на площадку южных очистных сооружений в песколовку. Пройдя стадии </w:t>
      </w:r>
      <w:r w:rsidRPr="007F425D">
        <w:rPr>
          <w:rFonts w:ascii="Times New Roman" w:hAnsi="Times New Roman" w:cs="Times New Roman"/>
          <w:spacing w:val="-1"/>
          <w:sz w:val="28"/>
          <w:szCs w:val="28"/>
        </w:rPr>
        <w:t xml:space="preserve">очистки и обеззараживания, самотёком сбрасываются в реку Большая </w:t>
      </w:r>
      <w:r w:rsidRPr="007F425D">
        <w:rPr>
          <w:rFonts w:ascii="Times New Roman" w:hAnsi="Times New Roman" w:cs="Times New Roman"/>
          <w:sz w:val="28"/>
          <w:szCs w:val="28"/>
        </w:rPr>
        <w:t>Волчанка, согласно технологической схеме.</w:t>
      </w:r>
    </w:p>
    <w:p w:rsidR="008B6C17" w:rsidRPr="007F425D" w:rsidRDefault="008B6C17" w:rsidP="007F425D">
      <w:pPr>
        <w:spacing w:line="240" w:lineRule="auto"/>
        <w:ind w:firstLine="878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ПЕРСПЕКТИВЫ РАЗВИТИЯ СИСТЕМЫ ВОДООТВЕДЕНИЯ</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tabs>
          <w:tab w:val="num" w:pos="0"/>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Проектом предлагается дальнейшее развитие двух существующих систем централизованной хоз-бытовой канализации города, для чего предусматривается:</w:t>
      </w:r>
    </w:p>
    <w:p w:rsidR="008B6C17" w:rsidRPr="007F425D" w:rsidRDefault="008B6C17" w:rsidP="007F425D">
      <w:pPr>
        <w:widowControl w:val="0"/>
        <w:tabs>
          <w:tab w:val="num" w:pos="0"/>
          <w:tab w:val="num" w:pos="1080"/>
        </w:tabs>
        <w:spacing w:after="0" w:line="240" w:lineRule="auto"/>
        <w:ind w:firstLine="720"/>
        <w:jc w:val="both"/>
        <w:rPr>
          <w:rFonts w:ascii="Times New Roman" w:hAnsi="Times New Roman" w:cs="Times New Roman"/>
          <w:b/>
          <w:bCs/>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очистных сооружений Северной и Южной частях города  с применением новых технологий очистки и доочистки стоков;</w:t>
      </w:r>
    </w:p>
    <w:p w:rsidR="008B6C17" w:rsidRPr="007F425D" w:rsidRDefault="008B6C17" w:rsidP="007F425D">
      <w:pPr>
        <w:widowControl w:val="0"/>
        <w:tabs>
          <w:tab w:val="num" w:pos="0"/>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развитие системы хоз-бытовой канализации города в районах малоэтажной существующей и проектируемой застройки.</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4.4. СИСТЕМА ЭЛЕКТРОСНАБЖЕНИЯ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Эксплуатацией 177,4 км электрических сетей и 41 ТП на территории Волчанского городского округа занимается Волчанский участок ПО «Серовские электрические сети» филиал «Свердловэнерго» ОАО «МРСК Урала» Волчанский район электрических сетей.</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Характеристика состояния и проблемы</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xml:space="preserve">Одной из наиболее значимых проблем развития электроэнергетического комплекса является значительный моральный и физический износ основных производственных фондов. </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На 01 января 2013 года нет мотивационного механизма для развития энергоисточников малой и средней мощности, способных работать на местных энергоресурсах (в первую очередь на торфе, лесных ресурсах).</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Основной целью развития энергетики Волчанского городского округа является создание условий для обеспечения развития экономики, промышленности и социальной сферы Волчанского городсокго округа. Это подразумевает обеспечение потребностей округа в энергоресурсах с учетом обеспечения конкурентоспособности и энергобезопасности, а также достижение передовых показателей качества жизни населения Волчанского городского округа.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ПЕРСПЕКТИВЫ РАЗВИТИЯ СИСТЕМЫ ЭЛЕКТРОСНАБЖЕНИЯ</w:t>
      </w:r>
    </w:p>
    <w:p w:rsidR="008B6C17" w:rsidRPr="007F425D" w:rsidRDefault="008B6C17" w:rsidP="007F425D">
      <w:pPr>
        <w:spacing w:after="0" w:line="240" w:lineRule="auto"/>
        <w:ind w:firstLine="709"/>
        <w:jc w:val="center"/>
        <w:rPr>
          <w:rFonts w:ascii="Times New Roman" w:hAnsi="Times New Roman" w:cs="Times New Roman"/>
          <w:sz w:val="28"/>
          <w:szCs w:val="28"/>
        </w:rPr>
      </w:pP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Для развития системы электроснабжения города с учетом возрастающей нагрузки жилого сектора проектом предлагается: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существующих электроподстанций - ПС «Антрацит» (ПС-1) 35/6кВ и ПС «Западная» 35/6кВ с заменой трансформаторов, а также для стабильного электроснабжения города необходима реконструкция ПС «Карпинск» 110/35/6кВ, расположенная в  г. Карпинске;</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реконструкция существующих распределительных пунктов, расположенных в Северной и Южной частях города.</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4.5. СИСТЕМА ГАЗОСНАБЖЕНИЯ</w:t>
      </w: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сформированы мероприятия по газоснабжению на период до 2016 года.</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Проведены топографо-геодезические изыскательские работы для газоснабжения:</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кварталов №№ 44, 45, 52, 53 и 80 южной части города Волчанска (район между ул. Малая окружная и Московская, Парковая, Уральского комсомола);</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по трассам проектируемых газопроводов низкого, среднего и высокого давления, а также газораспределительных пунктов.</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Планируется строительство котельной для газоснабжения МАОУ СОШ № 23 по ул. Молодежная в г. Волчанске Свердловской области, внутрипоселкового подземного газопровода высокого давления, подземного газопровода среднего давления и надземного газопровода низкого давления в северной, южной частях города Волчанска, в пос. Вьюжном.</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 xml:space="preserve">Газификация частного сектора позволит улучшить качество жизни населения городского округа. </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r w:rsidRPr="007F425D">
        <w:rPr>
          <w:rFonts w:ascii="Times New Roman" w:hAnsi="Times New Roman" w:cs="Times New Roman"/>
          <w:sz w:val="28"/>
          <w:szCs w:val="28"/>
        </w:rPr>
        <w:t>Перевод на газ (строительство и модернизация) систем коммунальной инфраструктуры (сетей и объектов) значительно сократит непроизводительные расходы и обеспечить надежность работы систем теплоснабжения.</w:t>
      </w:r>
    </w:p>
    <w:p w:rsidR="008B6C17" w:rsidRPr="007F425D" w:rsidRDefault="008B6C17" w:rsidP="007F425D">
      <w:pPr>
        <w:shd w:val="clear" w:color="auto" w:fill="FFFFFF"/>
        <w:tabs>
          <w:tab w:val="left" w:pos="1267"/>
        </w:tabs>
        <w:spacing w:after="0" w:line="240" w:lineRule="auto"/>
        <w:ind w:firstLine="811"/>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Характеристика состояния и проблемы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pStyle w:val="ConsPlusNormal"/>
        <w:ind w:firstLine="709"/>
        <w:jc w:val="both"/>
        <w:rPr>
          <w:rFonts w:ascii="Times New Roman" w:hAnsi="Times New Roman" w:cs="Times New Roman"/>
          <w:sz w:val="28"/>
          <w:szCs w:val="28"/>
        </w:rPr>
      </w:pPr>
      <w:r w:rsidRPr="007F425D">
        <w:rPr>
          <w:rFonts w:ascii="Times New Roman" w:hAnsi="Times New Roman" w:cs="Times New Roman"/>
          <w:sz w:val="28"/>
          <w:szCs w:val="28"/>
        </w:rPr>
        <w:t>Существующее состояние газификации сетевым природным газом в Волчанском городском округе не в полной мере отвечает ее потребностям.</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индивидуальные жилые дома отапливаются углём, запасы которого на Волчанском буроугольном месторождении практически отработаны. Прогнозируемый срок работы угледобывающего предприятия – 2 года. С закрытием филиала «Волчанский разрез» остро встанет вопрос отопления индивидуального жилья в зимнее время.</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Уровень газификации Волчанского городского округа составляет около 70% котельных и около 20% частного сектора. В связи с чем, вопрос повышения уровня газификации городского округа является стратегическим в плане развития топливно-энергетического комплекса.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Газоснабжение потребителей осуществляется от межпоселкового газопровода высокого давления Волчанск-Карпинск Ду 500 давлением 0,6 МПа. Газораспределительная сеть развита недостаточно. Протяженность  распределительных газопроводов внутри населенного пункта (одиночное протяжение уличной газовой сети) на 01 января 2013 года составляет около 30 километров. </w:t>
      </w:r>
    </w:p>
    <w:p w:rsidR="008B6C17" w:rsidRPr="007F425D" w:rsidRDefault="008B6C17" w:rsidP="007F425D">
      <w:pPr>
        <w:tabs>
          <w:tab w:val="left" w:pos="1080"/>
        </w:tabs>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В соответствии со «Схемой газоснабжения северной и южной частей г. Волчанска», разработанной Екатеринбургским филиалом ОАО «ГипроНИИгаз» в 2005 году, потребность в строительстве распределительных газопроводов внутри города Волчанска составляет   68,375 км газопровода высокого и низкого давления, а также 6 ГРП (газорегуляторных пункта).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Для газификации поселка Вьюжный необходимо строительство распределительных газопроводов в объеме 1,3 км от существующего подводящего газопровода к пос. Вьюжный совхоза «Волчанский», который документально был сдан в эксплуатацию 30 декабря 2005 года, собственник ГУП «Газовые сети», но не введен в эксплуатацию. </w:t>
      </w:r>
    </w:p>
    <w:p w:rsidR="008B6C17" w:rsidRPr="007F425D" w:rsidRDefault="008B6C17" w:rsidP="007F425D">
      <w:pPr>
        <w:pStyle w:val="ConsPlusNormal"/>
        <w:ind w:firstLine="709"/>
        <w:jc w:val="both"/>
        <w:rPr>
          <w:rFonts w:ascii="Times New Roman" w:hAnsi="Times New Roman" w:cs="Times New Roman"/>
          <w:sz w:val="28"/>
          <w:szCs w:val="28"/>
        </w:rPr>
      </w:pPr>
      <w:r w:rsidRPr="007F425D">
        <w:rPr>
          <w:rFonts w:ascii="Times New Roman" w:hAnsi="Times New Roman" w:cs="Times New Roman"/>
          <w:sz w:val="28"/>
          <w:szCs w:val="28"/>
        </w:rPr>
        <w:t>Недостаток развития газораспределительной сети внутри городского округа отражается на уровне газификации жилого фонда и объектов коммунальной сферы.</w:t>
      </w:r>
    </w:p>
    <w:p w:rsidR="008B6C17" w:rsidRPr="007F425D" w:rsidRDefault="008B6C17" w:rsidP="007F425D">
      <w:pPr>
        <w:pStyle w:val="ConsPlusNormal"/>
        <w:ind w:firstLine="709"/>
        <w:jc w:val="both"/>
        <w:rPr>
          <w:rFonts w:ascii="Times New Roman" w:hAnsi="Times New Roman" w:cs="Times New Roman"/>
          <w:sz w:val="28"/>
          <w:szCs w:val="28"/>
        </w:rPr>
      </w:pPr>
      <w:r w:rsidRPr="007F425D">
        <w:rPr>
          <w:rFonts w:ascii="Times New Roman" w:hAnsi="Times New Roman" w:cs="Times New Roman"/>
          <w:sz w:val="28"/>
          <w:szCs w:val="28"/>
        </w:rPr>
        <w:t>Одной из причин отставания в развитии газораспределительной сети в Волчанском городском округе является недостаточность объемов финансирования мероприятий.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8"/>
          <w:szCs w:val="28"/>
        </w:rPr>
      </w:pPr>
      <w:r w:rsidRPr="007F425D">
        <w:rPr>
          <w:rFonts w:ascii="Times New Roman" w:hAnsi="Times New Roman" w:cs="Times New Roman"/>
          <w:sz w:val="28"/>
          <w:szCs w:val="28"/>
        </w:rPr>
        <w:t>ПЕРСПЕКТИВЫ РАЗВИТИЯ СИСТЕМЫ ГАЗОСНАБЖЕНИЯ</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Проектом предлагается дальнейшее развитие системы газоснабжения, обеспечивающей потребителей города природным газом, подаваемым от северных районов Тюменской области, для чего предусматривается:</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вынос за границу города существующей городской  газораспределительной станции (ГРС) и участка газопровода – отвода  к ней  высокого давления (5,5МПа) с размещением новой ГРС севернее существующего кладбища;</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sz w:val="28"/>
          <w:szCs w:val="28"/>
        </w:rPr>
        <w:t>-</w:t>
      </w:r>
      <w:r w:rsidRPr="007F425D">
        <w:rPr>
          <w:rFonts w:ascii="Times New Roman" w:hAnsi="Times New Roman" w:cs="Times New Roman"/>
          <w:sz w:val="28"/>
          <w:szCs w:val="28"/>
        </w:rPr>
        <w:tab/>
        <w:t>перевод</w:t>
      </w:r>
      <w:r w:rsidRPr="007F425D">
        <w:rPr>
          <w:rFonts w:ascii="Times New Roman" w:hAnsi="Times New Roman" w:cs="Times New Roman"/>
          <w:color w:val="FF0000"/>
          <w:sz w:val="28"/>
          <w:szCs w:val="28"/>
        </w:rPr>
        <w:t xml:space="preserve"> </w:t>
      </w:r>
      <w:r w:rsidRPr="007F425D">
        <w:rPr>
          <w:rFonts w:ascii="Times New Roman" w:hAnsi="Times New Roman" w:cs="Times New Roman"/>
          <w:sz w:val="28"/>
          <w:szCs w:val="28"/>
        </w:rPr>
        <w:t>существующего газопровода высокого давления 0,6МПа Д500мм на г.Карпинск на давление1,2 МПа - участок от проектируемого головного газорегуляторного  пункта ГГРП (вместо сущ. ГРС) до проектируемого ГГРП Цементного завода;</w:t>
      </w:r>
    </w:p>
    <w:p w:rsidR="008B6C17" w:rsidRPr="007F425D" w:rsidRDefault="008B6C17" w:rsidP="007F425D">
      <w:pPr>
        <w:tabs>
          <w:tab w:val="num" w:pos="1080"/>
        </w:tabs>
        <w:spacing w:after="0" w:line="240" w:lineRule="auto"/>
        <w:ind w:firstLine="720"/>
        <w:jc w:val="both"/>
        <w:rPr>
          <w:rFonts w:ascii="Times New Roman" w:hAnsi="Times New Roman" w:cs="Times New Roman"/>
          <w:sz w:val="28"/>
          <w:szCs w:val="28"/>
        </w:rPr>
      </w:pPr>
      <w:r w:rsidRPr="007F425D">
        <w:rPr>
          <w:rFonts w:ascii="Times New Roman" w:hAnsi="Times New Roman" w:cs="Times New Roman"/>
          <w:b/>
          <w:bCs/>
          <w:sz w:val="28"/>
          <w:szCs w:val="28"/>
        </w:rPr>
        <w:t>-</w:t>
      </w:r>
      <w:r w:rsidRPr="007F425D">
        <w:rPr>
          <w:rFonts w:ascii="Times New Roman" w:hAnsi="Times New Roman" w:cs="Times New Roman"/>
          <w:b/>
          <w:bCs/>
          <w:sz w:val="28"/>
          <w:szCs w:val="28"/>
        </w:rPr>
        <w:tab/>
      </w:r>
      <w:r w:rsidRPr="007F425D">
        <w:rPr>
          <w:rFonts w:ascii="Times New Roman" w:hAnsi="Times New Roman" w:cs="Times New Roman"/>
          <w:sz w:val="28"/>
          <w:szCs w:val="28"/>
        </w:rPr>
        <w:t>развитие системы газоснабжения города.</w:t>
      </w:r>
    </w:p>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4.6. СИСТЕМА ОБРАЩЕНИЯ С ТВЕРДЫМИ БЫТОВЫМИ ОТХОДАМИ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Проблемы негативного воздействия на окружающую среду  отходов  производства и потребления являются актуальными для Волчанского городского округа и требуют постоянного внимания.</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1993 году Свердловским филиалом «Урал» НПО «Эдельвейс» был разработан «Рабочий проект полигона для складирования твердых бытовых отходов города Волчанска» и введен в эксплуатацию в 1994 году.</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Согласно постановления Главы Волчанского городского округа от 25.05.2010г. № 357 «О закреплении обязательств по обслуживанию полигона по захоронению твердых бытовых отходов за муниципальным унитарным предприятием «Волчанский автоэлектротранспорт» с 01июня 2010 года полигон был передан муниципальному унитарному предприятию «Волчанский автоэлектротранспорт» для дальнейшей эксплуатации.</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Одна из острых проблем - сложившаяся ситуация с утилизацией ТБО. Динамика и объемы образования ТБО в последнее время, свидетельствуют об их постоянном росте.</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Так на городском полигоне ТБО в 2012 году было утилизировано 20,25 тыс. куб. м.  отходов, в 2013 году 22,92 тыс. куб. м, 2014 – 18,0 тыс. куб. м. отходов. На сегодняшний день полигон эксплуатируется с нарушением требований санитарного законодательства, а именно: отсутствует хозяйственная зона, территория не забетонирована, не заасфальтирована и не освещена, отсутствует обваловка и ограждение, отсутствуют контрольные скважины, отходы не уплотняются и прочие нарушения, что не обеспечивает безопасное в санитарно- гигиеническом отношении хранение и захоронение отходов, что создает угрозу здоровью населения и загрязнения окружающей среды.</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2003 году ООО НПП «Экостар-Т» произведена инвентаризация отходов производства и потребления МУП «Жилищно-коммунального хозяйства» г. Волчанска.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применяется система сбора отходов в несменяемые контейнеры. Контейнеры располагаются на необорудованных контейнерных площадках, несоответствующих требованиям санитарных норм. Часть контейнеров требует срочного ремонта или замены. Мусоросборные площадки расположены без учета движения основных людских потоков. Неблагоустроенный сектор не полностью охвачен системой сбора коммунальных отходов. В результате часть отходов население сбрасывает в необорудованные для этого места в конце улиц, где образуются постоянные стихийные свалки.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Серьезной проблемой является большое количество золы, образуемой в неблагоустроенном секторе.</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Организация системы мусороудаления в жилищном секторе на территории Волчанского ГО</w:t>
      </w:r>
    </w:p>
    <w:tbl>
      <w:tblPr>
        <w:tblW w:w="100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1"/>
        <w:gridCol w:w="1993"/>
        <w:gridCol w:w="1669"/>
        <w:gridCol w:w="1170"/>
        <w:gridCol w:w="1441"/>
        <w:gridCol w:w="2002"/>
      </w:tblGrid>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Наименование населенного пункта</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Число обслуживаемых жителей, чел.</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контейнеров, шт.</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(емк. 0,75м3)</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График вывоза ТБО, раз/нед.</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Объем вывоза ТБО от населения, м3/сутки</w:t>
            </w:r>
          </w:p>
        </w:tc>
        <w:tc>
          <w:tcPr>
            <w:tcW w:w="2002"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Место обезвреживания ТБО</w:t>
            </w: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 Волчанск</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7859</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184</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84,2</w:t>
            </w:r>
          </w:p>
        </w:tc>
        <w:tc>
          <w:tcPr>
            <w:tcW w:w="2002" w:type="dxa"/>
            <w:vMerge w:val="restart"/>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Городская свалка</w:t>
            </w: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ст. Лесная Волчанка</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53</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1,4</w:t>
            </w:r>
          </w:p>
        </w:tc>
        <w:tc>
          <w:tcPr>
            <w:tcW w:w="2002" w:type="dxa"/>
            <w:vMerge/>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пос. Вьюжный</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249</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9</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1,8</w:t>
            </w:r>
          </w:p>
        </w:tc>
        <w:tc>
          <w:tcPr>
            <w:tcW w:w="2002" w:type="dxa"/>
            <w:vMerge/>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c>
      </w:tr>
      <w:tr w:rsidR="008B6C17" w:rsidRPr="007F425D">
        <w:tc>
          <w:tcPr>
            <w:tcW w:w="1769"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ИТОГО:</w:t>
            </w:r>
          </w:p>
        </w:tc>
        <w:tc>
          <w:tcPr>
            <w:tcW w:w="19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8161</w:t>
            </w:r>
          </w:p>
        </w:tc>
        <w:tc>
          <w:tcPr>
            <w:tcW w:w="166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202</w:t>
            </w:r>
          </w:p>
        </w:tc>
        <w:tc>
          <w:tcPr>
            <w:tcW w:w="1170"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144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b/>
                <w:bCs/>
                <w:sz w:val="24"/>
                <w:szCs w:val="24"/>
              </w:rPr>
            </w:pPr>
            <w:r w:rsidRPr="007F425D">
              <w:rPr>
                <w:rFonts w:ascii="Times New Roman" w:hAnsi="Times New Roman" w:cs="Times New Roman"/>
                <w:b/>
                <w:bCs/>
                <w:sz w:val="24"/>
                <w:szCs w:val="24"/>
              </w:rPr>
              <w:t>87,4</w:t>
            </w:r>
          </w:p>
        </w:tc>
        <w:tc>
          <w:tcPr>
            <w:tcW w:w="200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b/>
          <w:bCs/>
          <w:sz w:val="28"/>
          <w:szCs w:val="28"/>
        </w:rPr>
      </w:pPr>
      <w:r w:rsidRPr="007F425D">
        <w:rPr>
          <w:rFonts w:ascii="Times New Roman" w:hAnsi="Times New Roman" w:cs="Times New Roman"/>
          <w:b/>
          <w:bCs/>
          <w:sz w:val="28"/>
          <w:szCs w:val="28"/>
        </w:rPr>
        <w:t>Порядок сбора ТБО для объектов инфраструктуры в контейнеры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Сбор отходов производства и потребления юридическими лицами производится в специально установленные контейнеры. Все юридические лица обязаны заключать договора на вывоз отходов со специализированным предприятием, имеющим лицензию на право обращения с отходами.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xml:space="preserve">Количественные характеристики системы мусороудаления для объектов инфраструктуры Волчанского ГО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2230"/>
        <w:gridCol w:w="1595"/>
        <w:gridCol w:w="1594"/>
        <w:gridCol w:w="1595"/>
        <w:gridCol w:w="1881"/>
      </w:tblGrid>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п/п</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Наименование населенного пункта</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контейнеров, шт.</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(емк. 0,75м3)</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График вывоза ТБО, раз/нед.</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Объем вывоза ТБО от населения, м3/сутки</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Место обезвреживания ТБО</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г. Волчанск</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35</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11,6</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ст.  Лесная Волчанка</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r w:rsidR="008B6C17" w:rsidRPr="007F425D">
        <w:tc>
          <w:tcPr>
            <w:tcW w:w="959"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231"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пос. Вьюжный</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5"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нет</w:t>
            </w:r>
          </w:p>
        </w:tc>
        <w:tc>
          <w:tcPr>
            <w:tcW w:w="1596"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Свалка</w:t>
            </w:r>
          </w:p>
        </w:tc>
      </w:tr>
    </w:tbl>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Лечебно – профилактические учреждения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г. Волчанске находятся 2 лечебно – профилактических учреждения. Сбор и вывоз отходов класса А, бытовых отходов, производится в белых пакетах в контейнеры с соответствующей маркировкой и вывозятся на полигон ТБО.</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7F425D">
        <w:rPr>
          <w:rFonts w:ascii="Times New Roman" w:hAnsi="Times New Roman" w:cs="Times New Roman"/>
          <w:sz w:val="28"/>
          <w:szCs w:val="28"/>
        </w:rPr>
        <w:t>МУ «Волчанская городская больница»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Контейнеры в количестве 3 штук установлены на открытой площадке. Отходы класса Б – опасные, рискованные – собираются в желтые пакеты в контейнер за № Б и сжигаются.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Отходы класса В – чрезвычайно опасные – собираются в красные пакеты в контейнер за № 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Лекарственные препараты не подлежащие использованию и с истекшим сроком годности уничтожаются.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Установки для термического обезвреживания медицинских отходов при МУ «ВГБ» не имеется.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Заключен договор на вывоз опасных отходов с ООО «Центр безопасности промышленных отходов и по приему и обезвреживанию ртуть содержащих отходов».</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sz w:val="28"/>
          <w:szCs w:val="28"/>
        </w:rPr>
      </w:pPr>
      <w:r w:rsidRPr="007F425D">
        <w:rPr>
          <w:rFonts w:ascii="Times New Roman" w:hAnsi="Times New Roman" w:cs="Times New Roman"/>
          <w:sz w:val="28"/>
          <w:szCs w:val="28"/>
        </w:rPr>
        <w:t>ГУЗ СО «Психиатрическая больница № 12</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Отходы класса Б собираются и сдаются на обезвреживание по договору организации «УралВторРесурс».</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 xml:space="preserve">ПЕРСПЕКТИВЫ РАЗВИТИЯ СИСТЕМА ОБРАЩЕНИЯ С ТВЕРДЫМИ БЫТОВЫМИ ОТХОДАМИ </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2014 году ООО «Промстройинжиниринг» (г. Екатеринбург) разработана проектно-сметная документация на строительство полигона для размещения твердых бытовых (коммунальных) отходов города Волчанска».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На основании вышеуказанного проекта: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площадь полигона внутри ограждения должна составить 5,1 га.;</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санитарно-защитная зона по периметру – 50 м.;</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 xml:space="preserve">Финансовые вложения на строительство полигона площадью 5,1 га. в настоящее время составят ориентировочно 57263 тыс. руб. без учета потребности в необходимой специализированной технике. С учетом специальной автотранспортной техники размер финансовых вложений  на реализацию строительства полигона утилизации ТБО составит </w:t>
      </w:r>
      <w:r w:rsidRPr="007F425D">
        <w:rPr>
          <w:rFonts w:ascii="Times New Roman" w:hAnsi="Times New Roman" w:cs="Times New Roman"/>
          <w:sz w:val="28"/>
          <w:szCs w:val="28"/>
        </w:rPr>
        <w:sym w:font="Symbol" w:char="F0BB"/>
      </w:r>
      <w:r w:rsidRPr="007F425D">
        <w:rPr>
          <w:rFonts w:ascii="Times New Roman" w:hAnsi="Times New Roman" w:cs="Times New Roman"/>
          <w:sz w:val="28"/>
          <w:szCs w:val="28"/>
        </w:rPr>
        <w:t xml:space="preserve"> 80000 тыс. руб.</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В настоящее время решается вопрос о строительстве полигона утилизации ТБО на территории Волчанского городского округа в 2016-2017 годах.</w:t>
      </w:r>
    </w:p>
    <w:p w:rsidR="008B6C17" w:rsidRPr="007F425D" w:rsidRDefault="008B6C17" w:rsidP="007F425D">
      <w:pPr>
        <w:spacing w:after="0" w:line="240" w:lineRule="auto"/>
        <w:ind w:firstLine="709"/>
        <w:jc w:val="both"/>
        <w:rPr>
          <w:rFonts w:ascii="Times New Roman" w:hAnsi="Times New Roman" w:cs="Times New Roman"/>
          <w:sz w:val="28"/>
          <w:szCs w:val="28"/>
        </w:rPr>
      </w:pPr>
      <w:r w:rsidRPr="007F425D">
        <w:rPr>
          <w:rFonts w:ascii="Times New Roman" w:hAnsi="Times New Roman" w:cs="Times New Roman"/>
          <w:sz w:val="28"/>
          <w:szCs w:val="28"/>
        </w:rPr>
        <w:t>Разработана генеральная схема санитарной очистки населенных пунктов территории Волчанского городского округа и утверждена  решением Волчанской городской Думы от 17.02.2011 г. № 21 «Об утверждении «Генеральной схемы санитарной очистки населенных пунктов территории Волчанского городского округа».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Основной задачей раздела является определение перспективных методов сбора, вывоза и обезвреживания отходов, образующихся в Волчанском городском округе. Предлагается: разместить контейнерные площадки в благоустроенном жилом фонде и возле объектов общественного назначения (магазины, киоски, кафе, учреждения, школы и др.) в соответствии с разработанными и утвержденными нормами образования ТБО. Дополнительно, на каждую контейнерную площадку, в неблагоустроенном секторе добавить контейнеры емкостью 0,55 м3 для сбора угольной золы, со специальной маркировкой запрещающей сброс в эти контейнеры других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Контейнерная система сбора ТБО обладает рядом преимуществ: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удаление отходов не зависит от времени прибытия спецмашины;</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уменьшается загрязненность мусором на прилегающей территории;</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ликвидируется несанкционированные свалки мусора около мусоросборных площадок при соблюдении графика вывоза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 наличие контроля потоков и объемов образующихся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перспективе организованный сбор отходов с использованием несменяемых контейнеров ведет к переходу на селективную систему сбора отходов, что является единственным эффективным способом уменьшения объемов отходов производства и потребления, подлежащих захоронению в окружающей природной среде и ведущий к увеличению доли отходов, поступающих на переработку.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Правильная организация системы сбора и удаления ТБО предполагает наличие исчерпывающих сведений об обслуживаемых объектах. Для получения более полных данных необходимо обследовать все намеченные к обслуживанию объекты и провести их паспортизацию.</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b/>
          <w:bCs/>
          <w:sz w:val="28"/>
          <w:szCs w:val="28"/>
        </w:rPr>
      </w:pPr>
      <w:r w:rsidRPr="007F425D">
        <w:rPr>
          <w:rFonts w:ascii="Times New Roman" w:hAnsi="Times New Roman" w:cs="Times New Roman"/>
          <w:b/>
          <w:bCs/>
          <w:sz w:val="28"/>
          <w:szCs w:val="28"/>
        </w:rPr>
        <w:t>Результаты расчетного необходимого количества мусоровозов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Расчет количества мусоровозных машин для вывоза ТБО от жилищного фонда и инфраструктуры на 2008, 2013 и 2028 гг.(без учета имеющихся машин)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gridCol w:w="2393"/>
      </w:tblGrid>
      <w:tr w:rsidR="008B6C17" w:rsidRPr="007F425D">
        <w:tc>
          <w:tcPr>
            <w:tcW w:w="2392" w:type="dxa"/>
            <w:vMerge w:val="restart"/>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Объекты</w:t>
            </w:r>
          </w:p>
        </w:tc>
        <w:tc>
          <w:tcPr>
            <w:tcW w:w="7179" w:type="dxa"/>
            <w:gridSpan w:val="3"/>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машин, шт.</w:t>
            </w:r>
          </w:p>
        </w:tc>
      </w:tr>
      <w:tr w:rsidR="008B6C17" w:rsidRPr="007F425D">
        <w:tc>
          <w:tcPr>
            <w:tcW w:w="239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Текущий период 2008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Первая очередь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2013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Расчетный срок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2028 г.</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и инфраструктура</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1,3(2)</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1,2(2)</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(2,01)2</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(контейнеры с угольной золой)</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w:t>
            </w: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Расчет количества мусоровозных машин для вывоза КГО от жилищного фонда на 2008,2013 и 2028 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gridCol w:w="2393"/>
      </w:tblGrid>
      <w:tr w:rsidR="008B6C17" w:rsidRPr="007F425D">
        <w:tc>
          <w:tcPr>
            <w:tcW w:w="2392" w:type="dxa"/>
            <w:vMerge w:val="restart"/>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Объекты</w:t>
            </w:r>
          </w:p>
        </w:tc>
        <w:tc>
          <w:tcPr>
            <w:tcW w:w="7179" w:type="dxa"/>
            <w:gridSpan w:val="3"/>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Количество машин, шт.</w:t>
            </w:r>
          </w:p>
        </w:tc>
      </w:tr>
      <w:tr w:rsidR="008B6C17" w:rsidRPr="007F425D">
        <w:tc>
          <w:tcPr>
            <w:tcW w:w="2392" w:type="dxa"/>
            <w:vMerge/>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Текущий период 2008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Первая очередь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2013 г.</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 xml:space="preserve">Расчетный срок </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2028 г.</w:t>
            </w:r>
          </w:p>
        </w:tc>
      </w:tr>
      <w:tr w:rsidR="008B6C17" w:rsidRPr="007F425D">
        <w:tc>
          <w:tcPr>
            <w:tcW w:w="2392" w:type="dxa"/>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Жилищный фонд и инфраструктура</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2393" w:type="dxa"/>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425D">
        <w:rPr>
          <w:rFonts w:ascii="Times New Roman" w:hAnsi="Times New Roman" w:cs="Times New Roman"/>
          <w:sz w:val="24"/>
          <w:szCs w:val="24"/>
        </w:rPr>
        <w:t>* Расчет произведен при условии ежедневного вывоза ТБО, и четырех рейсах каждого мусоровоза на полигон. При использовании иных типов транспортных средств количество единиц может измениться.</w:t>
      </w:r>
    </w:p>
    <w:p w:rsidR="008B6C17" w:rsidRPr="007F425D" w:rsidRDefault="008B6C17" w:rsidP="007F425D">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7F425D">
        <w:rPr>
          <w:rFonts w:ascii="Times New Roman" w:hAnsi="Times New Roman" w:cs="Times New Roman"/>
          <w:b/>
          <w:bCs/>
          <w:sz w:val="28"/>
          <w:szCs w:val="28"/>
        </w:rPr>
        <w:t>Методы обезвреживания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При существующей схеме сбора ТБО в Волчанском городском округе оптимальным направлением в обращении с отходами является захоронение на полигоне, с предварительным сбором утильных фракций для направления  на повторную переработку.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На современном этапе развития основным направлением в области обращения  с отходами для снижения техногенной нагрузки на окружающую среду является захоронение отходов на свалках и полигонах с последующей рекультивацией.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Проектирование и эксплуатация полигонов должна осуществляться в соответствии с правилами [16],[17],[21],[26].</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Полигоны для твердых бытовых отходов – это природоохранные сооружения, обеспечивающие при захоронении отходов полную санитарно – эпидемиологическую безопасность для населения близлежащих жилых  районов и обслуживающего персонала полигона; защиту от загрязнения почвы, воздушного бассейна, грунтовых и поверхностных вод; статистическую устойчивость отходов с учетом динамики уплотнения, газовыделения и гидрогеологических условий; рациональное использование и экономию  территории за счет уплотнения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Метод захоронения отходов на полигонах широко распространен во всех странах (75-80% всех твердых отходов захораниваются на полигонах). Отходы складируются в виде насыпного холма или в карьерах и оврагах с санитарно – защитной зоной 500 – 1000 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Даже при создании успешно функционирующих систем сжигания, вторичной переработки и компостирования остается необходимость захоронения остаточной части (хвостов). Поэтому полигон является неотъемлемой частью современной схемы сбора и удаления и захоронения твердых бытовых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Наиболее оптимальным направлением в системе обращения с отходами в настоящее время и в перспективе на 20 лет является сбор  вторичного сырья с помощью передвижных приемных пунктов и предварительной обработкой на приемно – заготовительном предприятии с последующим захоронением «хвостов» на полигоне.</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Максимальное извлечение отходов для последующей переработки и захоронение неутильной фракции на полигоне в настоящее время для муниципального образования является безальтернативным вариантом функционирования системы управления отходами. Очевидно, что вложение капитала в направления по сокращению объемов захоронения отходов,  перспективе, окупится и даст существенную прибыль. Кроме того, снизится техногенная нагрузка на окружающую природную среду.</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Для совершенствования системы обращения с отходами, в соответствии с разработанной Генеральной схемой для Волчанского городского округа, необходимо разработать программу по санитарной очистке территории и определить первоочередные и долгосрочные мероприятия.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К первоочередным мероприятиям относится: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1. Совершенствование нормативно – правовой базы на муниципальном уровне в сфере обращения с отходами (корректировка норм образования отходов производства и потребления; утверждения документов – порядок обращения с медицинскими отходами, порядок обращения на территории с промышленными отходами, крупногабаритными отходами и другими видами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2. Обеспечение материально – технической базы для организации системы сбора и вывоза коммунальных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а) Приобретение контейнеров для сбора ТБО, обустройство контейнерных площадок.</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б) Приобретение современных спецавтомобилей для транспортировки твердых бытовых и крупногабаритных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Приобретение современных спецавтомобилей для механизированной уборки территории населенных пунктов в соответствии с требованиями  нормативных документов.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3. Провести мероприятия по приведению мощности полигона в соответствии с объемами образования ТБО по территории городского округа (на 2013 год расчетный объем образования отходов от объектов жилого сектора и инфраструктуры, без учета промышленных предприятий, составит  - 75291 м3 в год).</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4. Организация воспитательно – просветительской деятельности с населением.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5. Разработка системы мер экономического стимулирования организаций, осуществляющих сбор и использование отходов, являющихся вторичным сырьем.</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6. Ввод в эксплуатацию передвижных пунктов приема вторичных отходов.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Вторая очередь мероприятий.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1 Введение селективной системы сбора утильных фракций ТБО для части населения.</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2. Строительство предприятий по сортировке и переработке отдельных утильных фракций ТБО.</w:t>
      </w:r>
    </w:p>
    <w:p w:rsidR="008B6C17" w:rsidRPr="007F425D" w:rsidRDefault="008B6C17" w:rsidP="007F425D">
      <w:pPr>
        <w:spacing w:after="0" w:line="240" w:lineRule="auto"/>
        <w:ind w:firstLine="709"/>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4.7. ОБЩИЕ СВЕДЕНИЯ О ТАРИФАХ</w:t>
      </w:r>
    </w:p>
    <w:p w:rsidR="008B6C17" w:rsidRPr="007F425D" w:rsidRDefault="008B6C17" w:rsidP="007F425D">
      <w:pPr>
        <w:spacing w:after="0" w:line="240" w:lineRule="auto"/>
        <w:ind w:firstLine="709"/>
        <w:jc w:val="center"/>
        <w:rPr>
          <w:rFonts w:ascii="Times New Roman" w:hAnsi="Times New Roman" w:cs="Times New Roman"/>
          <w:sz w:val="28"/>
          <w:szCs w:val="28"/>
        </w:rPr>
      </w:pPr>
      <w:r w:rsidRPr="007F425D">
        <w:rPr>
          <w:rFonts w:ascii="Times New Roman" w:hAnsi="Times New Roman" w:cs="Times New Roman"/>
          <w:sz w:val="28"/>
          <w:szCs w:val="28"/>
        </w:rPr>
        <w:t>НА КОММУНАЛЬНЫЕ УСЛУГИ ДЛЯ НАСЕЛЕНИЯ</w:t>
      </w:r>
    </w:p>
    <w:p w:rsidR="008B6C17" w:rsidRPr="007F425D" w:rsidRDefault="008B6C17" w:rsidP="007F425D">
      <w:pPr>
        <w:spacing w:after="0" w:line="240" w:lineRule="auto"/>
        <w:ind w:firstLine="709"/>
        <w:jc w:val="center"/>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color w:val="000000"/>
          <w:sz w:val="28"/>
          <w:szCs w:val="28"/>
        </w:rPr>
        <w:t xml:space="preserve">В </w:t>
      </w:r>
      <w:hyperlink w:anchor="Par568" w:history="1">
        <w:r w:rsidRPr="007F425D">
          <w:rPr>
            <w:rFonts w:ascii="Times New Roman" w:hAnsi="Times New Roman" w:cs="Times New Roman"/>
            <w:color w:val="000000"/>
            <w:sz w:val="28"/>
            <w:szCs w:val="28"/>
          </w:rPr>
          <w:t xml:space="preserve">таблице </w:t>
        </w:r>
      </w:hyperlink>
      <w:r w:rsidRPr="007F425D">
        <w:rPr>
          <w:rFonts w:ascii="Times New Roman" w:hAnsi="Times New Roman" w:cs="Times New Roman"/>
          <w:sz w:val="28"/>
          <w:szCs w:val="28"/>
        </w:rPr>
        <w:t xml:space="preserve"> представлена информация о стоимости коммунальных услуг для населения по утвержденным тарифам, действующим по состоянию наянваря 2015 года.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Таблица  ТАРИФЫ И НОРМАТИВЫ НА КОММУНАЛЬНЫЕ УСЛУГИ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ДЛЯ НАСЕЛЕНИЯ, ПРОЖИВАЮЩЕГО В ПОЛНОСТЬЮ БЛАГОУСТРОЕННОМ</w:t>
      </w:r>
    </w:p>
    <w:p w:rsidR="008B6C17" w:rsidRPr="007F425D" w:rsidRDefault="008B6C17" w:rsidP="007F425D">
      <w:pPr>
        <w:shd w:val="clear" w:color="auto" w:fill="FFFFFF"/>
        <w:tabs>
          <w:tab w:val="left" w:pos="1267"/>
        </w:tabs>
        <w:spacing w:after="0" w:line="240" w:lineRule="auto"/>
        <w:ind w:firstLine="902"/>
        <w:jc w:val="center"/>
        <w:rPr>
          <w:rFonts w:ascii="Times New Roman" w:hAnsi="Times New Roman" w:cs="Times New Roman"/>
          <w:caps/>
          <w:sz w:val="24"/>
          <w:szCs w:val="24"/>
        </w:rPr>
      </w:pPr>
      <w:r w:rsidRPr="007F425D">
        <w:rPr>
          <w:rFonts w:ascii="Times New Roman" w:hAnsi="Times New Roman" w:cs="Times New Roman"/>
          <w:sz w:val="28"/>
          <w:szCs w:val="28"/>
        </w:rPr>
        <w:t xml:space="preserve">ЖИЛЬЕ НА ТЕРРИТОРИИ </w:t>
      </w:r>
      <w:r w:rsidRPr="007F425D">
        <w:rPr>
          <w:rFonts w:ascii="Times New Roman" w:hAnsi="Times New Roman" w:cs="Times New Roman"/>
          <w:caps/>
          <w:sz w:val="28"/>
          <w:szCs w:val="28"/>
        </w:rPr>
        <w:t>Волчанского городского округа</w:t>
      </w:r>
    </w:p>
    <w:p w:rsidR="008B6C17" w:rsidRPr="007F425D" w:rsidRDefault="008B6C17" w:rsidP="007F425D">
      <w:pPr>
        <w:shd w:val="clear" w:color="auto" w:fill="FFFFFF"/>
        <w:tabs>
          <w:tab w:val="left" w:pos="1267"/>
        </w:tabs>
        <w:spacing w:after="0" w:line="240" w:lineRule="auto"/>
        <w:ind w:firstLine="902"/>
        <w:jc w:val="both"/>
        <w:rPr>
          <w:rFonts w:ascii="Times New Roman" w:hAnsi="Times New Roman" w:cs="Times New Roman"/>
          <w:caps/>
          <w:sz w:val="24"/>
          <w:szCs w:val="24"/>
        </w:rPr>
      </w:pPr>
    </w:p>
    <w:tbl>
      <w:tblPr>
        <w:tblW w:w="9581" w:type="dxa"/>
        <w:tblCellSpacing w:w="5" w:type="nil"/>
        <w:tblInd w:w="2" w:type="dxa"/>
        <w:tblLayout w:type="fixed"/>
        <w:tblCellMar>
          <w:left w:w="75" w:type="dxa"/>
          <w:right w:w="75" w:type="dxa"/>
        </w:tblCellMar>
        <w:tblLook w:val="0000"/>
      </w:tblPr>
      <w:tblGrid>
        <w:gridCol w:w="775"/>
        <w:gridCol w:w="5046"/>
        <w:gridCol w:w="2098"/>
        <w:gridCol w:w="1587"/>
      </w:tblGrid>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N п/п</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368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Значение показателей  на период с 01.07.2014 по 31.12.2014 г.</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1.</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Отопление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за тепловую энергию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«ВТЭК»</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1463,23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1311,61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Гкал/м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0,0221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r w:rsidRPr="007F425D">
              <w:rPr>
                <w:rFonts w:ascii="Times New Roman" w:hAnsi="Times New Roman" w:cs="Times New Roman"/>
                <w:sz w:val="24"/>
                <w:szCs w:val="24"/>
              </w:rPr>
              <w:t>2</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Горячее водоснабжение: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МУП «ВТЭК» </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тепловую энергию</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1463,23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холодную воду</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2,83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тепловую энергию</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Руб./Гкал</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1311,61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компонент на холодную воду</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 xml:space="preserve">3. </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Холодное водоснабжение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"Водоканал"</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38,61</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ОАО «Волчанское»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25,13</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 на жилое помещение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4.</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Водоотведение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МУП «Водоканал»</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27,05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 на жилое помещение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8,86</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5.</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Электроэнергия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для населения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 электроплитами</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Руб./кВтч</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2,15</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 газовыми плитами</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Руб./кВтч</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3,07</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кВтч/чел.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56</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6.</w:t>
            </w: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Газоснабжение</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Тариф для населения с НДС:</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Руб./м3</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4,64</w:t>
            </w:r>
          </w:p>
        </w:tc>
      </w:tr>
      <w:tr w:rsidR="008B6C17" w:rsidRPr="007F425D">
        <w:trPr>
          <w:tblCellSpacing w:w="5" w:type="nil"/>
        </w:trPr>
        <w:tc>
          <w:tcPr>
            <w:tcW w:w="85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5046"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Норматив потребления</w:t>
            </w:r>
          </w:p>
        </w:tc>
        <w:tc>
          <w:tcPr>
            <w:tcW w:w="209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м3/чел. в месяц</w:t>
            </w:r>
          </w:p>
        </w:tc>
        <w:tc>
          <w:tcPr>
            <w:tcW w:w="158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10,2</w:t>
            </w:r>
          </w:p>
        </w:tc>
      </w:tr>
    </w:tbl>
    <w:p w:rsidR="008B6C17" w:rsidRPr="007F425D" w:rsidRDefault="008B6C17" w:rsidP="007F425D">
      <w:pPr>
        <w:spacing w:after="0" w:line="240" w:lineRule="auto"/>
        <w:ind w:firstLine="709"/>
        <w:jc w:val="both"/>
        <w:rPr>
          <w:rFonts w:ascii="Times New Roman" w:hAnsi="Times New Roman" w:cs="Times New Roman"/>
          <w:caps/>
          <w:sz w:val="24"/>
          <w:szCs w:val="24"/>
        </w:rPr>
      </w:pPr>
    </w:p>
    <w:p w:rsidR="008B6C17" w:rsidRPr="007F425D" w:rsidRDefault="008B6C17" w:rsidP="007F425D">
      <w:pPr>
        <w:spacing w:after="0" w:line="240" w:lineRule="auto"/>
        <w:ind w:firstLine="709"/>
        <w:jc w:val="both"/>
        <w:rPr>
          <w:rFonts w:ascii="Times New Roman" w:hAnsi="Times New Roman" w:cs="Times New Roman"/>
          <w:caps/>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РАЗДЕЛ 5 ОЦЕНКА РЕАЛИЗАЦИИ МЕРОПРИЯТИЙ В ОБЛАСТИ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ЭНЕРГО- И РЕСУРСОСБЕРЕЖЕНИЯ, МЕРОПРИЯТИЙ ПО СБОРУ 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УЧЕТУ ИНФОРМАЦИИ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Информация по оснащению приборами учета потребляемых энергоресурсов и воды на территории Волчанского городского округа на 01.01.14 представлена в таблицах 5.1.</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bookmarkStart w:id="19" w:name="Par12048"/>
      <w:bookmarkEnd w:id="19"/>
      <w:r w:rsidRPr="007F425D">
        <w:rPr>
          <w:rFonts w:ascii="Times New Roman" w:hAnsi="Times New Roman" w:cs="Times New Roman"/>
          <w:sz w:val="28"/>
          <w:szCs w:val="28"/>
        </w:rPr>
        <w:t>Таблица 5.1. ОСНАЩЕННОСТЬ ПРИБОРАМИ УЧЕТА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CellSpacing w:w="5" w:type="nil"/>
        <w:tblInd w:w="2" w:type="dxa"/>
        <w:tblLayout w:type="fixed"/>
        <w:tblCellMar>
          <w:left w:w="75" w:type="dxa"/>
          <w:right w:w="75" w:type="dxa"/>
        </w:tblCellMar>
        <w:tblLook w:val="0000"/>
      </w:tblPr>
      <w:tblGrid>
        <w:gridCol w:w="4857"/>
        <w:gridCol w:w="4649"/>
      </w:tblGrid>
      <w:tr w:rsidR="008B6C17" w:rsidRPr="007F425D">
        <w:trPr>
          <w:tblCellSpacing w:w="5" w:type="nil"/>
        </w:trPr>
        <w:tc>
          <w:tcPr>
            <w:tcW w:w="493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показателя</w:t>
            </w:r>
          </w:p>
        </w:tc>
        <w:tc>
          <w:tcPr>
            <w:tcW w:w="46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Процент оснащенности, %</w:t>
            </w:r>
          </w:p>
        </w:tc>
      </w:tr>
      <w:tr w:rsidR="008B6C17" w:rsidRPr="007F425D">
        <w:trPr>
          <w:tblCellSpacing w:w="5" w:type="nil"/>
        </w:trPr>
        <w:tc>
          <w:tcPr>
            <w:tcW w:w="493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Электрическая энергия</w:t>
            </w:r>
          </w:p>
        </w:tc>
        <w:tc>
          <w:tcPr>
            <w:tcW w:w="46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r>
      <w:tr w:rsidR="008B6C17" w:rsidRPr="007F425D">
        <w:trPr>
          <w:tblCellSpacing w:w="5" w:type="nil"/>
        </w:trPr>
        <w:tc>
          <w:tcPr>
            <w:tcW w:w="493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Тепловая энергия</w:t>
            </w:r>
          </w:p>
        </w:tc>
        <w:tc>
          <w:tcPr>
            <w:tcW w:w="46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r>
      <w:tr w:rsidR="008B6C17" w:rsidRPr="007F425D">
        <w:trPr>
          <w:tblCellSpacing w:w="5" w:type="nil"/>
        </w:trPr>
        <w:tc>
          <w:tcPr>
            <w:tcW w:w="493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Вода</w:t>
            </w:r>
          </w:p>
        </w:tc>
        <w:tc>
          <w:tcPr>
            <w:tcW w:w="46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w:t>
            </w:r>
          </w:p>
        </w:tc>
      </w:tr>
      <w:tr w:rsidR="008B6C17" w:rsidRPr="007F425D">
        <w:trPr>
          <w:tblCellSpacing w:w="5" w:type="nil"/>
        </w:trPr>
        <w:tc>
          <w:tcPr>
            <w:tcW w:w="493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Природный газ</w:t>
            </w:r>
          </w:p>
        </w:tc>
        <w:tc>
          <w:tcPr>
            <w:tcW w:w="46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В Волчанском городском округе разработана и реализуется муниципальная программа «Энергосбережение и повышению энергетической эффективности Волчанского городского округа».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Мероприятия по энергосбережению и повышению энергетической эффективности представлены в таблице 5.2:</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492"/>
        <w:gridCol w:w="3628"/>
        <w:gridCol w:w="1531"/>
        <w:gridCol w:w="1247"/>
        <w:gridCol w:w="2608"/>
      </w:tblGrid>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 п/п</w:t>
            </w:r>
          </w:p>
        </w:tc>
        <w:tc>
          <w:tcPr>
            <w:tcW w:w="36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Наименование мероприятия</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Годы реализации мероприятия</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Сумма, тыс. руб.</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Источник финансирования</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w:t>
            </w:r>
          </w:p>
        </w:tc>
        <w:tc>
          <w:tcPr>
            <w:tcW w:w="36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Программные мероприятия, направленные на энергосбережение и повышение энергетической эффективности жилищного фонда</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2016-2030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16200,0</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Средства бюджетов различных уровней</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w:t>
            </w:r>
          </w:p>
        </w:tc>
        <w:tc>
          <w:tcPr>
            <w:tcW w:w="36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Программные мероприятия, направленные на энергосбережение и повышение энергетической эффективности бюджетного сектора</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2016-2030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4740,0</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Средства бюджетов различных уровней</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3</w:t>
            </w:r>
          </w:p>
        </w:tc>
        <w:tc>
          <w:tcPr>
            <w:tcW w:w="36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Программные мероприятия, направленные на энергосбережение и повышение энергетической эффективности системы теплоснабжения</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2015-2019</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77598,0</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Средства бюджетов различных уровней</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4</w:t>
            </w:r>
          </w:p>
        </w:tc>
        <w:tc>
          <w:tcPr>
            <w:tcW w:w="362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Программные мероприятия, направленные на энергосбережение и повышение энергетической эффективности системы водоснабжения</w:t>
            </w:r>
          </w:p>
        </w:tc>
        <w:tc>
          <w:tcPr>
            <w:tcW w:w="153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2016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100,0</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Средства бюджетов различных уровней</w:t>
            </w:r>
          </w:p>
        </w:tc>
      </w:tr>
      <w:tr w:rsidR="008B6C17" w:rsidRPr="007F425D">
        <w:trPr>
          <w:tblCellSpacing w:w="5" w:type="nil"/>
        </w:trPr>
        <w:tc>
          <w:tcPr>
            <w:tcW w:w="572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rPr>
            </w:pPr>
            <w:r w:rsidRPr="007F425D">
              <w:rPr>
                <w:rFonts w:ascii="Times New Roman" w:hAnsi="Times New Roman" w:cs="Times New Roman"/>
              </w:rPr>
              <w:t>Итого:</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r w:rsidRPr="007F425D">
              <w:rPr>
                <w:rFonts w:ascii="Times New Roman" w:hAnsi="Times New Roman" w:cs="Times New Roman"/>
              </w:rPr>
              <w:t>98638,0</w:t>
            </w:r>
          </w:p>
        </w:tc>
        <w:tc>
          <w:tcPr>
            <w:tcW w:w="2608"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rPr>
            </w:pPr>
          </w:p>
        </w:tc>
      </w:tr>
    </w:tbl>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sectPr w:rsidR="008B6C17" w:rsidRPr="007F425D" w:rsidSect="002C3948">
          <w:pgSz w:w="11906" w:h="16838"/>
          <w:pgMar w:top="737" w:right="851" w:bottom="794" w:left="1418" w:header="709" w:footer="709" w:gutter="0"/>
          <w:cols w:space="708"/>
          <w:docGrid w:linePitch="360"/>
        </w:sect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РАЗДЕЛ 6 ПЕРЕЧЕНЬ ИНВЕСТИЦИОННЫХ ПРОЕКТОВ</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Совокупная программа проектов с детализацией по годам представлена в таблице 6.1.</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bookmarkStart w:id="20" w:name="Par12103"/>
      <w:bookmarkEnd w:id="20"/>
      <w:r w:rsidRPr="007F425D">
        <w:rPr>
          <w:rFonts w:ascii="Times New Roman" w:hAnsi="Times New Roman" w:cs="Times New Roman"/>
          <w:sz w:val="28"/>
          <w:szCs w:val="28"/>
        </w:rPr>
        <w:t>Таблица 6.1. МЕРОПРИЯТИЯ ПО ВСЕМ СИСТЕМАМ КОММУНАЛЬНОЙ</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ИНФРАСТРУКТУРЫ</w:t>
      </w:r>
    </w:p>
    <w:p w:rsidR="008B6C17" w:rsidRPr="007F425D" w:rsidRDefault="008B6C17" w:rsidP="007F425D">
      <w:pPr>
        <w:shd w:val="clear" w:color="auto" w:fill="FFFFFF"/>
        <w:tabs>
          <w:tab w:val="left" w:pos="0"/>
        </w:tabs>
        <w:spacing w:before="5" w:line="240" w:lineRule="auto"/>
        <w:jc w:val="center"/>
        <w:rPr>
          <w:rFonts w:ascii="Times New Roman" w:hAnsi="Times New Roman" w:cs="Times New Roman"/>
          <w:caps/>
          <w:sz w:val="28"/>
          <w:szCs w:val="28"/>
        </w:rPr>
      </w:pPr>
    </w:p>
    <w:tbl>
      <w:tblPr>
        <w:tblW w:w="0" w:type="auto"/>
        <w:tblCellSpacing w:w="5" w:type="nil"/>
        <w:tblInd w:w="2" w:type="dxa"/>
        <w:tblLayout w:type="fixed"/>
        <w:tblCellMar>
          <w:left w:w="75" w:type="dxa"/>
          <w:right w:w="75" w:type="dxa"/>
        </w:tblCellMar>
        <w:tblLook w:val="0000"/>
      </w:tblPr>
      <w:tblGrid>
        <w:gridCol w:w="719"/>
        <w:gridCol w:w="3402"/>
        <w:gridCol w:w="1020"/>
        <w:gridCol w:w="1077"/>
        <w:gridCol w:w="964"/>
        <w:gridCol w:w="1077"/>
        <w:gridCol w:w="1134"/>
        <w:gridCol w:w="1134"/>
        <w:gridCol w:w="1020"/>
        <w:gridCol w:w="1077"/>
      </w:tblGrid>
      <w:tr w:rsidR="008B6C17" w:rsidRPr="007F425D">
        <w:trPr>
          <w:tblCellSpacing w:w="5" w:type="nil"/>
        </w:trPr>
        <w:tc>
          <w:tcPr>
            <w:tcW w:w="79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79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69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r>
      <w:tr w:rsidR="008B6C17" w:rsidRPr="007F425D">
        <w:trPr>
          <w:tblCellSpacing w:w="5" w:type="nil"/>
        </w:trPr>
        <w:tc>
          <w:tcPr>
            <w:tcW w:w="521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1269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21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Установка источника резервного питания для угольной котельной пос.Вьюжный (100 кВт., 380В)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Субсидии на возмещение затрат на модернизацию и капитальный ремонт сетей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тепловой изоляции тепловых сетей, обеспечивающей снижение тепловых потерь в 3 раза (Ду ср.150мм, протяженность 7,2 км. в 2-х трубном исполнении)</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термической деаэрации (с использованием источника пара)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коммунальных сетей к жилым домам</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трубопровода =250 мм от камеры № 16 по ул.Базарная, Школьная, М.Горького, Кооперативная до ул.Социалистическая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термической деаэрации (с использованием источника пара)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коммунальных сетей к жилым домам</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Предоставление субсидий на возмещение затрат на выполнение работ по замене оборудования котельной поселка Вьюжный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резервного источника питания по электроснабжению НСТС и ЦТП</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Получение заключения экспертизы промышленной безопасности на котел ДЕ-16-14 ГМ № 3</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spacing w:after="0" w:line="240" w:lineRule="auto"/>
        <w:ind w:firstLine="601"/>
        <w:jc w:val="center"/>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549"/>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Установка источника резервного питания для НС 1-го подъема водоснабжения станции Лесная Волчанка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и капитальный ремонт водопроводных сетей</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организации зон санитарной охраны (ЗСО) водозабора по водозаборному участку скважин № 1 и № 2 станции Лесная Волчанка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строительство водовода питьевой воды от  НС 2 подъема до НС 3 подъема участка водоснабжение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водовода питьевой воды от  НС 2 подъема до НС 3 подъема участка водоснабжение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spacing w:after="0" w:line="240" w:lineRule="auto"/>
        <w:ind w:firstLine="601"/>
        <w:jc w:val="both"/>
        <w:rPr>
          <w:rFonts w:ascii="Times New Roman" w:hAnsi="Times New Roman" w:cs="Times New Roman"/>
          <w:caps/>
          <w:sz w:val="24"/>
          <w:szCs w:val="24"/>
        </w:rPr>
      </w:pPr>
      <w:r w:rsidRPr="007F425D">
        <w:rPr>
          <w:rFonts w:ascii="Times New Roman" w:hAnsi="Times New Roman" w:cs="Times New Roman"/>
          <w:caps/>
          <w:sz w:val="24"/>
          <w:szCs w:val="24"/>
        </w:rPr>
        <w:t xml:space="preserve"> </w:t>
      </w:r>
    </w:p>
    <w:p w:rsidR="008B6C17" w:rsidRPr="007F425D" w:rsidRDefault="008B6C17" w:rsidP="007F425D">
      <w:pPr>
        <w:spacing w:after="0" w:line="240" w:lineRule="auto"/>
        <w:ind w:firstLine="601"/>
        <w:jc w:val="both"/>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549"/>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ВОДОотведения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и строительство блочной газовой котельной с подводящим газопроводом до Северных ОСК</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проекта на модернизацию системы обеззараживания сточных вод на очистных сооружениях севера и юга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Реконструкция здания КНС северных ОСК</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rHeight w:val="338"/>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дополнительного фидера 6кВ ОРУ 6кВ, ТП 6/0,4 кВ для КНС Южных очистных сооружений канализации</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Модернизация системы обеззараживания сточных вод на очистных сооружениях севера и юга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4000,0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Электроснабжения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Наружное освещение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3000,0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Обслуживание сетей наружного освещения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Приобретение опор уличного освещения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center"/>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8000,0</w:t>
            </w:r>
          </w:p>
        </w:tc>
      </w:tr>
    </w:tbl>
    <w:p w:rsidR="008B6C17" w:rsidRPr="007F425D" w:rsidRDefault="008B6C17" w:rsidP="007F425D">
      <w:pPr>
        <w:widowControl w:val="0"/>
        <w:autoSpaceDE w:val="0"/>
        <w:autoSpaceDN w:val="0"/>
        <w:adjustRightInd w:val="0"/>
        <w:spacing w:after="0" w:line="240" w:lineRule="auto"/>
        <w:jc w:val="both"/>
        <w:outlineLvl w:val="3"/>
        <w:rPr>
          <w:rFonts w:ascii="Times New Roman" w:hAnsi="Times New Roman" w:cs="Times New Roman"/>
          <w:caps/>
          <w:sz w:val="24"/>
          <w:szCs w:val="24"/>
        </w:rPr>
      </w:pPr>
    </w:p>
    <w:p w:rsidR="008B6C17" w:rsidRPr="007F425D" w:rsidRDefault="008B6C17" w:rsidP="007F425D">
      <w:pPr>
        <w:spacing w:after="0" w:line="240" w:lineRule="auto"/>
        <w:ind w:firstLine="601"/>
        <w:jc w:val="both"/>
        <w:rPr>
          <w:rFonts w:ascii="Times New Roman" w:hAnsi="Times New Roman" w:cs="Times New Roman"/>
          <w:caps/>
          <w:sz w:val="24"/>
          <w:szCs w:val="24"/>
        </w:rPr>
      </w:pPr>
    </w:p>
    <w:p w:rsidR="008B6C17" w:rsidRPr="007F425D" w:rsidRDefault="008B6C17" w:rsidP="007F425D">
      <w:pPr>
        <w:spacing w:after="0" w:line="240" w:lineRule="auto"/>
        <w:ind w:firstLine="601"/>
        <w:jc w:val="both"/>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549"/>
        <w:gridCol w:w="3402"/>
        <w:gridCol w:w="834"/>
        <w:gridCol w:w="1260"/>
        <w:gridCol w:w="1080"/>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83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26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522"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83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642"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ГАЗОСНАБЖЕНИЯ</w:t>
            </w:r>
          </w:p>
        </w:tc>
      </w:tr>
      <w:tr w:rsidR="008B6C17" w:rsidRPr="007F425D">
        <w:trPr>
          <w:tblCellSpacing w:w="5" w:type="nil"/>
        </w:trPr>
        <w:tc>
          <w:tcPr>
            <w:tcW w:w="4860"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12642"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4860"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подземного газопровода высокого давления протяжённостью 0,25 км и надземного газопровода низкого давления протяжённостью 2,4 км</w:t>
            </w: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3,2 км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надземного газопровода низкого давления протяженностью 5,3 км </w:t>
            </w: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3148,2</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Проектирование надземного газопровода низкого давления протяженностью 7,3 км (</w:t>
            </w: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i/>
                <w:iCs/>
                <w:sz w:val="24"/>
                <w:szCs w:val="24"/>
              </w:rPr>
              <w:t>(Ст. Л. Волчанка)</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Выполнение строительно-монтажных работ на объекте газоснабжения «Строительство подземного газопровода высокого давления и ГРП для газификации МОУ СОШ № 31»</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Выполнение строительно-монтажных работ на объекте газоснабжения «Расширение газовых сетей поселка Вьюжный МО Волчанский городской округ»</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w:t>
            </w:r>
          </w:p>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 (от ул. Труда до ул. Северная)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подземного газопровода высокого давления протяжённостью 0,25 км и надземного газопровода низкого давления протяжённостью 2,4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надземного газопровода низкого давления протяженностью 3,2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Строительство надземного газопровода низкого давления протяженностью 5,3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надземного газопровода низкого давления протяженностью 7,3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(Ст. Л. Волчанка)</w:t>
            </w:r>
          </w:p>
        </w:tc>
        <w:tc>
          <w:tcPr>
            <w:tcW w:w="8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2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bl>
    <w:p w:rsidR="008B6C17" w:rsidRPr="007F425D" w:rsidRDefault="008B6C17" w:rsidP="007F425D">
      <w:pPr>
        <w:spacing w:after="0" w:line="240" w:lineRule="auto"/>
        <w:ind w:firstLine="601"/>
        <w:jc w:val="both"/>
        <w:rPr>
          <w:rFonts w:ascii="Times New Roman" w:hAnsi="Times New Roman" w:cs="Times New Roman"/>
          <w:caps/>
          <w:sz w:val="24"/>
          <w:szCs w:val="24"/>
        </w:rPr>
      </w:pPr>
    </w:p>
    <w:tbl>
      <w:tblPr>
        <w:tblW w:w="0" w:type="auto"/>
        <w:tblCellSpacing w:w="5" w:type="nil"/>
        <w:tblInd w:w="2" w:type="dxa"/>
        <w:tblLayout w:type="fixed"/>
        <w:tblCellMar>
          <w:left w:w="75" w:type="dxa"/>
          <w:right w:w="75" w:type="dxa"/>
        </w:tblCellMar>
        <w:tblLook w:val="0000"/>
      </w:tblPr>
      <w:tblGrid>
        <w:gridCol w:w="549"/>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 xml:space="preserve">СИСТЕМА </w:t>
            </w:r>
            <w:r w:rsidRPr="007F425D">
              <w:rPr>
                <w:rFonts w:ascii="Times New Roman" w:hAnsi="Times New Roman" w:cs="Times New Roman"/>
                <w:caps/>
                <w:sz w:val="24"/>
                <w:szCs w:val="24"/>
              </w:rPr>
              <w:t>обращения с ТБО</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грунтовой  дороги и асфальтобетонных участков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котлована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административно-бытового помещения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900,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6.4.</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пожарного резервуара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6.6.</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Ограждение полигона по всему периметру</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Освещение полигона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поливомоечной машины КО-829АД-01</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бульдозера  ДТ-170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6.10</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весового оборудования модели БВ2-30000-4.2 (1,2)</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6.11</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самоходного катка ДУ - 98</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6.12</w:t>
            </w:r>
          </w:p>
        </w:tc>
        <w:tc>
          <w:tcPr>
            <w:tcW w:w="34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контрольно дезинфицирующей зоны</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549"/>
        <w:gridCol w:w="3402"/>
        <w:gridCol w:w="1020"/>
        <w:gridCol w:w="1077"/>
        <w:gridCol w:w="964"/>
        <w:gridCol w:w="1077"/>
        <w:gridCol w:w="1020"/>
        <w:gridCol w:w="1134"/>
        <w:gridCol w:w="1077"/>
        <w:gridCol w:w="1134"/>
      </w:tblGrid>
      <w:tr w:rsidR="008B6C17" w:rsidRPr="007F425D">
        <w:trPr>
          <w:tblCellSpacing w:w="5" w:type="nil"/>
        </w:trPr>
        <w:tc>
          <w:tcPr>
            <w:tcW w:w="62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02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07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6406"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2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12529"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5046"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и установка тепловых насосов в муниципальных учреждениях</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200,0</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Переоборудование осветительного оборудования в муниципальных учреждениях с заменой неэффективного на энергосберегающее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Повышение эффективности тепловой защиты ограждающих конструкций зданий и сооружений  муниципальных учреждений с использованием современных материалов</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Уличное освещение. Модернизация систем и объектов наружного освещения путем замены светильников уличного освещения с неэффективными дуговыми лампами высокого давления на светодиодные</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7.5.</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Субсидии на возмещение затрат от реализации мероприятий по энергосбережению и повышению энергетической эффективности в отношении общего имущества собственников помещений в многоквартирных домах на территории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7.6.</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Разработка энергетических паспортов жилых зданий с присвоением класса эффективности, энергетические обследования зданий, строений и сооружений предприятий ЖКХ, с разработкой энергетического паспорта, технические освидетельствование зданий, строений и сооружений</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7.8</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Реконструкция угольной котельной с переводом на сжиженный газ, с переходом в дальнейшем на природный газ в пос. Вьюжном мощностью 1,2 МВт</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7.9</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Строительство локальных котельных в северной части города взамен котельной ВМЗ суммарной мощностью 25 МВт</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Модернизация электроснабжения насосной станции теплоснабжения и ЦТП в северной части города с доведением надежности электроснабжения до 1 категории надежности с заменой  сетевых насосов и частотного преобразователя</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Замена устаревшего энергоемкого оборудования на современное энергоэффективное на объектах ЖКХ</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7.12</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Разработка проектов установки приборов учета на участки МУП «Водоканал»</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2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7.13</w:t>
            </w:r>
          </w:p>
        </w:tc>
        <w:tc>
          <w:tcPr>
            <w:tcW w:w="34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Актуализация схемы теплоснабжения Волчанского городского округа</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2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Таблица 6.2. СОВОКУПНЫЕ ВЛОЖЕНИЯ ПО СИСТЕМАМ</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КОММУНАЛЬНОЙ ИНФРАСТРУКТУРЫ</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492"/>
        <w:gridCol w:w="2665"/>
        <w:gridCol w:w="1417"/>
        <w:gridCol w:w="1134"/>
        <w:gridCol w:w="1247"/>
        <w:gridCol w:w="1134"/>
        <w:gridCol w:w="1134"/>
        <w:gridCol w:w="1134"/>
        <w:gridCol w:w="1247"/>
      </w:tblGrid>
      <w:tr w:rsidR="008B6C17" w:rsidRPr="007F425D">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п/п</w:t>
            </w:r>
          </w:p>
        </w:tc>
        <w:tc>
          <w:tcPr>
            <w:tcW w:w="2665"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системы</w:t>
            </w:r>
          </w:p>
        </w:tc>
        <w:tc>
          <w:tcPr>
            <w:tcW w:w="141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30"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665"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323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573200,9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23198,66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92464,0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73118,0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73320,0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120818,2</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190282,0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водоотведения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электроснабжения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газоснабжения</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обращения с ТБО</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56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w:t>
            </w:r>
          </w:p>
        </w:tc>
        <w:tc>
          <w:tcPr>
            <w:tcW w:w="266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c>
          <w:tcPr>
            <w:tcW w:w="141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bl>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Таблица 6.3. СОВОКУПНЫЙ ЭКОНОМИЧЕСКИЙ ЭФФЕКТ</w:t>
      </w: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435"/>
        <w:gridCol w:w="3960"/>
        <w:gridCol w:w="1304"/>
        <w:gridCol w:w="964"/>
        <w:gridCol w:w="1170"/>
        <w:gridCol w:w="1155"/>
        <w:gridCol w:w="1155"/>
        <w:gridCol w:w="1155"/>
        <w:gridCol w:w="1361"/>
      </w:tblGrid>
      <w:tr w:rsidR="008B6C17" w:rsidRPr="007F425D">
        <w:trPr>
          <w:tblCellSpacing w:w="5" w:type="nil"/>
        </w:trPr>
        <w:tc>
          <w:tcPr>
            <w:tcW w:w="51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п/п</w:t>
            </w:r>
          </w:p>
        </w:tc>
        <w:tc>
          <w:tcPr>
            <w:tcW w:w="396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Экономический эффект, тыс. руб.</w:t>
            </w:r>
          </w:p>
        </w:tc>
        <w:tc>
          <w:tcPr>
            <w:tcW w:w="6960" w:type="dxa"/>
            <w:gridSpan w:val="6"/>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51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p>
        </w:tc>
        <w:tc>
          <w:tcPr>
            <w:tcW w:w="396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p>
        </w:tc>
        <w:tc>
          <w:tcPr>
            <w:tcW w:w="130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2015</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2016</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2017</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2018</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2019</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4470"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Итого экономический эффект</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326099,84</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1977,7</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14769,74</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13671,2</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27415</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41422,0</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226844,2</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73749,64</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157,54</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1418,2</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1598,4</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781,1</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788,4</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69006,0</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8523,13</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175,13</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2610,0</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179,0</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299,0</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300,0</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4960,0</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Система водоотведения</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36669,1</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0</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78,7</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892,4</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2488,0</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33210,0</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Система электроснабжения</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71241,6</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379,2</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470,4</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686,4</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4396,8</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4396,8</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60912,0</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Система газоснабжения</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101463,7</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1119,0</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7700,7</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7593,8</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18329,7</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15564,0</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51156,5</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Система обращения с ТБО</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3821,85</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26,27</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430,78</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298,1</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451,5</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465,6</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2149,6</w:t>
            </w:r>
          </w:p>
        </w:tc>
      </w:tr>
      <w:tr w:rsidR="008B6C17" w:rsidRPr="007F425D">
        <w:trPr>
          <w:tblCellSpacing w:w="5" w:type="nil"/>
        </w:trPr>
        <w:tc>
          <w:tcPr>
            <w:tcW w:w="51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7</w:t>
            </w:r>
          </w:p>
        </w:tc>
        <w:tc>
          <w:tcPr>
            <w:tcW w:w="396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c>
          <w:tcPr>
            <w:tcW w:w="13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30630,82</w:t>
            </w:r>
          </w:p>
        </w:tc>
        <w:tc>
          <w:tcPr>
            <w:tcW w:w="9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120,56</w:t>
            </w:r>
          </w:p>
        </w:tc>
        <w:tc>
          <w:tcPr>
            <w:tcW w:w="117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2060,96</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2423,1</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668,9</w:t>
            </w:r>
          </w:p>
        </w:tc>
        <w:tc>
          <w:tcPr>
            <w:tcW w:w="115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19907,2</w:t>
            </w:r>
          </w:p>
        </w:tc>
        <w:tc>
          <w:tcPr>
            <w:tcW w:w="136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5450,1</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sectPr w:rsidR="008B6C17" w:rsidRPr="007F425D" w:rsidSect="00EC2600">
          <w:pgSz w:w="16838" w:h="11906" w:orient="landscape"/>
          <w:pgMar w:top="850" w:right="1134" w:bottom="1701" w:left="1134" w:header="708" w:footer="708" w:gutter="0"/>
          <w:cols w:space="708"/>
          <w:docGrid w:linePitch="360"/>
        </w:sect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7. ПРЕДЛОЖЕНИЯ ПО ОРГАНИЗАЦИИ РЕАЛИЗАЦИИ</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ИНВЕСТИЦИОННЫХ ПРОЕКТОВ</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Согласно «Методическим рекомендациям по разработке программ комплексного развития систем коммунальной инфраструктуры муниципальных образований» для организации проектов рассматриваются следующие варианты:</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реализуемые действующими на территории МО организациями;</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выставляемые на конкурс для привлечения сторонних инвесторов (в том числе по договору концессии);</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для реализации которых создаются организации с участием МО;</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для реализации которых создаются организации с участием действующих ресурсоснабжающих организаций.</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Для реализации программы Волчанского городского округа «Комплексное развитие систем коммунальной инфраструктуры Волчанского городского округа до 2030 года» целесообразнее всего будет применять две организационные формы:</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реализуемые действующими на территории МО организациями - для проектов в системе теплоснабжения, водоснабжения, водоотведения, электроснабжения, газоснабжения, обращения с ТБО, по энергосбережению - ввиду того, что использование инфраструктуры и персонала действующих на территории организаций позволит сократить время для подготовки к началу реализации мероприятий, тем самым сокращая затраты на организацию проектов.</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В качестве недостатков данного варианта можно отнести негативное финансовое положение существующих организаций, что влечет за собой дополнительные затраты времени и средств на нормализацию производственных процессов, также необходимость осуществлять текущую деятельность может негативно сказаться на скорости выполнения работ по программе;</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7F425D">
        <w:rPr>
          <w:rFonts w:ascii="Times New Roman" w:hAnsi="Times New Roman" w:cs="Times New Roman"/>
          <w:sz w:val="28"/>
          <w:szCs w:val="28"/>
        </w:rPr>
        <w:t>- проекты, выставляемые на конкурс для привлечения сторонних инвесторов (в том числе по договору концессии) - для крупных инфраструктурных проектов с длительными сроками окупаемости. Осуществление мероприятий в данных системах потребует создания инфраструктуры «с нуля», для чего нужны компетентные специалисты с опытом осуществления данных работ. В случае привлечения инвестора, сразу после проведения конкурсных процедур, возможно начать осуществление мероприятий. Во всех остальных случаях, потребуется время для получения лицензий на ведение данных видов деятельности, обучение персонала, организационные процедуры, что замедлит процесс реализации мероприятий и приведет к отклонению от графика программы.</w:t>
      </w:r>
    </w:p>
    <w:p w:rsidR="008B6C17" w:rsidRPr="007F425D" w:rsidRDefault="008B6C17" w:rsidP="007F425D">
      <w:pPr>
        <w:widowControl w:val="0"/>
        <w:autoSpaceDE w:val="0"/>
        <w:autoSpaceDN w:val="0"/>
        <w:adjustRightInd w:val="0"/>
        <w:spacing w:after="0" w:line="240" w:lineRule="auto"/>
        <w:ind w:firstLine="539"/>
        <w:jc w:val="both"/>
        <w:rPr>
          <w:rFonts w:ascii="Times New Roman" w:hAnsi="Times New Roman" w:cs="Times New Roman"/>
          <w:sz w:val="28"/>
          <w:szCs w:val="28"/>
        </w:rPr>
        <w:sectPr w:rsidR="008B6C17" w:rsidRPr="007F425D" w:rsidSect="00661D46">
          <w:pgSz w:w="11906" w:h="16838"/>
          <w:pgMar w:top="1134" w:right="850" w:bottom="1134" w:left="1701" w:header="708" w:footer="708" w:gutter="0"/>
          <w:cols w:space="708"/>
          <w:docGrid w:linePitch="360"/>
        </w:sectPr>
      </w:pPr>
      <w:r w:rsidRPr="007F425D">
        <w:rPr>
          <w:rFonts w:ascii="Times New Roman" w:hAnsi="Times New Roman" w:cs="Times New Roman"/>
          <w:sz w:val="28"/>
          <w:szCs w:val="28"/>
        </w:rPr>
        <w:t>К недостатку данного варианта можно отнести низкую заинтересованность сторонних организаций к инвестициям в данную отрасль, что затрудняет процесс привлечения инвесторов. Кроме того, возможные сроки окупаемости проектов достаточно длительные, что также снижает привлекательность данного варианта реализации мероприятий.</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8. ОБОСНОВАНИЕ ИСПОЛЬЗОВАНИЯ ИСТОЧНИКОВ</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ФИНАНСИРОВАНИЯ ИНВЕСТИЦИОННЫХ ПРОЕКТОВ</w:t>
      </w:r>
    </w:p>
    <w:p w:rsidR="008B6C17" w:rsidRPr="007F425D" w:rsidRDefault="008B6C17" w:rsidP="007F425D">
      <w:pPr>
        <w:spacing w:after="0" w:line="240" w:lineRule="auto"/>
        <w:ind w:firstLine="709"/>
        <w:jc w:val="both"/>
        <w:rPr>
          <w:rFonts w:ascii="Times New Roman" w:hAnsi="Times New Roman" w:cs="Times New Roman"/>
          <w:caps/>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Таблица 8.1. СОВОКУПНАЯ ПРОГРАММА</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ПРОЕКТОВ ПО ИСТОЧНИКАМ ФИНАНСИРОВАНИЯ</w:t>
      </w:r>
    </w:p>
    <w:tbl>
      <w:tblPr>
        <w:tblW w:w="15138" w:type="dxa"/>
        <w:tblCellSpacing w:w="5" w:type="nil"/>
        <w:tblInd w:w="2" w:type="dxa"/>
        <w:tblLayout w:type="fixed"/>
        <w:tblCellMar>
          <w:left w:w="75" w:type="dxa"/>
          <w:right w:w="75" w:type="dxa"/>
        </w:tblCellMar>
        <w:tblLook w:val="0000"/>
      </w:tblPr>
      <w:tblGrid>
        <w:gridCol w:w="718"/>
        <w:gridCol w:w="62"/>
        <w:gridCol w:w="73"/>
        <w:gridCol w:w="3268"/>
        <w:gridCol w:w="13"/>
        <w:gridCol w:w="60"/>
        <w:gridCol w:w="2449"/>
        <w:gridCol w:w="1404"/>
        <w:gridCol w:w="1080"/>
        <w:gridCol w:w="54"/>
        <w:gridCol w:w="1247"/>
        <w:gridCol w:w="117"/>
        <w:gridCol w:w="1042"/>
        <w:gridCol w:w="96"/>
        <w:gridCol w:w="806"/>
        <w:gridCol w:w="169"/>
        <w:gridCol w:w="944"/>
        <w:gridCol w:w="31"/>
        <w:gridCol w:w="1430"/>
      </w:tblGrid>
      <w:tr w:rsidR="008B6C17" w:rsidRPr="007F425D">
        <w:trPr>
          <w:tblCellSpacing w:w="5" w:type="nil"/>
        </w:trPr>
        <w:tc>
          <w:tcPr>
            <w:tcW w:w="928" w:type="dxa"/>
            <w:gridSpan w:val="3"/>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п/п</w:t>
            </w:r>
          </w:p>
        </w:tc>
        <w:tc>
          <w:tcPr>
            <w:tcW w:w="3341" w:type="dxa"/>
            <w:gridSpan w:val="3"/>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мероприятия</w:t>
            </w:r>
          </w:p>
        </w:tc>
        <w:tc>
          <w:tcPr>
            <w:tcW w:w="2449"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Сроки выполнения работ, гг.</w:t>
            </w:r>
          </w:p>
        </w:tc>
        <w:tc>
          <w:tcPr>
            <w:tcW w:w="1404"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16" w:type="dxa"/>
            <w:gridSpan w:val="11"/>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928" w:type="dxa"/>
            <w:gridSpan w:val="3"/>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3341" w:type="dxa"/>
            <w:gridSpan w:val="3"/>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449"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ТЕПЛОСНАБЖЕНИЯ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81248,0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81248,0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2188,0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18660,0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43400,0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Установка источника резервного питания для угольной котельной пос.Вьюжный (100 кВт., 380В)</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Субсидии на возмещение затрат на модернизацию и капитальный ремонт сетей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тепловой изоляции тепловых сетей, обеспечивающей снижение тепловых потерь в 3 раза (Ду ср.150мм, протяженность 7,2 км. в 2-х трубном исполнении)</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термической деаэрации (с использованием источника пара)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коммунальных сетей к жилым домам</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 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трубопровода =250 мм от камеры № 16 по ул.Базарная, Школьная, М.Горького, Кооперативная до ул.Социалистическая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термической деаэрации (с использованием источника пара)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установки для умягчения подпиточной воды для системы теплоснабжения и горячего водоснабжения на насосной станции теплоснабжения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коммунальных сетей к жилым домам</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15190,0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Предоставление субсидий на возмещение затрат на выполнение работ по замене оборудования котельной поселка Вьюжный Волчанского городского округа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резервного источника питания по электроснабжению НСТС и ЦТП</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Получение заключения экспертизы промышленной безопасности на котел ДЕ-16-14 ГМ № 3</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79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1.14</w:t>
            </w:r>
          </w:p>
        </w:tc>
        <w:tc>
          <w:tcPr>
            <w:tcW w:w="3416" w:type="dxa"/>
            <w:gridSpan w:val="4"/>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Монтаж узла коммерческого учета тепловой энергии на газовой котельной МУП «Волчанский ТЭК» по адресу ул.Физкультурная 19</w:t>
            </w:r>
          </w:p>
        </w:tc>
        <w:tc>
          <w:tcPr>
            <w:tcW w:w="250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ООО «Север», МУП «ВТЭК»</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ВОДОСНАБЖЕНИЯ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26360,0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11250,0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Установка источника резервного питания для НС 1-го подъема водоснабжения станции Лесная Волчанка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и капитальный ремонт водопроводных сетей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организации зон санитарной охраны (ЗСО) водозабора по водозаборному участку скважин № 1 и № 2 станции Лесная Волчанка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водовода питьевой воды от  НС 2 подъема до НС 3 подъема участка водоснабжение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строительство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водовода питьевой воды от  НС 2 подъема до НС 3 подъема участка водоснабжение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ВОДООТВЕДЕНИЯ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2023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42830,0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Проектирование  и строительство блочной газовой котельной с подводящим газопроводом до Северных ОСК</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Разработка проекта на модернизацию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Реконструкция здания КНС северных ОСК</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МУП «Водоканал» </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дополнительного фидера 6кВ ОРУ 6кВ, ТП 6/0,4 кВ для КНС Южных очистных сооружений канализации</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Модернизация системы обеззараживания сточных вод на очистных сооружениях севера и юга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«Водоканал»</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ЭЛЕКТРОСНАБЖЕНИЯ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 xml:space="preserve">Собственные средства предприятий </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rHeight w:val="114"/>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Наружное освещение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38000,0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25000,0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Обслуживание сетей наружного освещения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rPr>
                <w:rFonts w:ascii="Times New Roman" w:hAnsi="Times New Roman" w:cs="Times New Roman"/>
                <w:sz w:val="24"/>
                <w:szCs w:val="24"/>
              </w:rPr>
            </w:pPr>
            <w:r w:rsidRPr="007F425D">
              <w:rPr>
                <w:rFonts w:ascii="Times New Roman" w:hAnsi="Times New Roman" w:cs="Times New Roman"/>
                <w:sz w:val="24"/>
                <w:szCs w:val="24"/>
              </w:rPr>
              <w:t>Приобретение опор уличного освещения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ГАЗОСНАБЖЕНИЯ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223168,86</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30098,0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234028,86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40958,0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223168,86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12032,66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44408,0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48620,0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44006,2</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30098,0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надземного газопровода низкого давления протяжённостью 9,5 км – объект газоснабжения «Внутрипоселковый газопровод северной части города Волчанска, квартал 4, 5, 19-22, 46, 75-78»</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3213,0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5304,0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       </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Проектирование подземного газопровода высокого давления протяжённостью 0,25 км и надземного газопровода низкого давления протяжённостью 2,4 км</w:t>
            </w: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3,2 км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5.6</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 xml:space="preserve">Проектирование надземного газопровода низкого давления протяженностью 5,3 км </w:t>
            </w: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3148,0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Проектирование надземного газопровода низкого давления протяженностью 7,3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3744,0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5.8</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i/>
                <w:iCs/>
                <w:sz w:val="24"/>
                <w:szCs w:val="24"/>
              </w:rPr>
              <w:t>(Ст. Л. Волчанка)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Выполнение строительно-монтажных работ на объекте газоснабжения «Строительство подземного газопровода высокого давления и ГРП для газификации МОУ СОШ № 31»</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8819,66</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5.10</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Выполнение строительно-монтажных работ на объекте газоснабжения «Расширение газовых сетей поселка Вьюжный МО Волчанский городской округ»</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5.11</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протяжённостью 9,5 км – объект газоснабжения «Внутрипоселковый газопровод северной части города Волчанска,</w:t>
            </w:r>
            <w:r w:rsidRPr="007F425D">
              <w:rPr>
                <w:rFonts w:ascii="Times New Roman" w:hAnsi="Times New Roman" w:cs="Times New Roman"/>
                <w:sz w:val="24"/>
                <w:szCs w:val="24"/>
              </w:rPr>
              <w:t xml:space="preserve"> квартал 4, 5, 19-22, 46, 75-78»                                                          </w:t>
            </w:r>
            <w:r w:rsidRPr="007F425D">
              <w:rPr>
                <w:rFonts w:ascii="Times New Roman" w:hAnsi="Times New Roman" w:cs="Times New Roman"/>
                <w:i/>
                <w:iCs/>
                <w:sz w:val="24"/>
                <w:szCs w:val="24"/>
              </w:rPr>
              <w:t>(Шевченко-пер. Шевченко-Труда-Гоголя-Молодёжная (чётная сторона)-Горького (от Молодёжной до Шевченко)-Мичурина (от Молодёжной до Шевченко)-Социалистическая (от Молодёжной до Шевченко)-Угольная (до Садовой), пер. М. Горького-Мичурина (от Кооперативной до Молодёжной)-Социалистическая  (от Кооперативной до Молодёжной)-Садовая (16-28)-Молодёжная (нечётная сторона от Социалистической до Садовой)</w:t>
            </w:r>
          </w:p>
          <w:p w:rsidR="008B6C17" w:rsidRPr="007F425D" w:rsidRDefault="008B6C17" w:rsidP="007F425D">
            <w:pPr>
              <w:pStyle w:val="ConsPlusCell"/>
              <w:jc w:val="both"/>
              <w:rPr>
                <w:rFonts w:ascii="Times New Roman" w:hAnsi="Times New Roman" w:cs="Times New Roman"/>
                <w:b/>
                <w:bCs/>
                <w:sz w:val="24"/>
                <w:szCs w:val="24"/>
              </w:rPr>
            </w:pP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34000,0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5.12</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Строительство подземного газопровода высокого давления протяжённостью 0,2 км, подземного газопровода среднего давления протяжённостью 1,1 км и надземного газопровода низкого давления протяжённостью 10,4 км</w:t>
            </w: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Кольцевая (от Ур.Комсомола до Шахтёрской)-Б.Окружная (от Ур.Комсомола до Шахтёрской)-М.Окружная (от Ур.Комсомола до Шахтёрской)-Некрасова-пер. Некрасова-Кольцевая (от Шахтёрской до Рабочей)-Б.Окружная (от Шахтёрской до Рабочей)-М.Окружная (от Шахтёрской до Рабочей)-Октябрьская-пер. Банный-Восточная-Стахановская-Советская)</w:t>
            </w:r>
          </w:p>
          <w:p w:rsidR="008B6C17" w:rsidRPr="007F425D" w:rsidRDefault="008B6C17" w:rsidP="007F425D">
            <w:pPr>
              <w:pStyle w:val="ConsPlusCell"/>
              <w:jc w:val="both"/>
              <w:rPr>
                <w:rFonts w:ascii="Times New Roman" w:hAnsi="Times New Roman" w:cs="Times New Roman"/>
                <w:b/>
                <w:bCs/>
                <w:sz w:val="24"/>
                <w:szCs w:val="24"/>
              </w:rPr>
            </w:pP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37648,0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5.13</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Строительство надземного газопровода низкого давления протяженностью 13,0 км – объект газоснабжения «Внутрипоселковый газопровод южной части города Волчанска, квартала»       </w:t>
            </w:r>
          </w:p>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i/>
                <w:iCs/>
                <w:sz w:val="24"/>
                <w:szCs w:val="24"/>
              </w:rPr>
              <w:t>Новая-Пушкина-Белинского-Шевченко (89-103)-Уральская-Угольная-Транспортная-Северная-Полевая-Садовая (3,5,7)-Базарная-Школьная-Пионерская (от пр. Комсомольский до Базарной)-Краснотурьинская (от пр. Комсомольский до Базарной)-Волчанская (от пр. Комсомольский до Базарной)-М.Горького (до ул. Школьная)-Первомайская-Коммунальная-Набережная)- ул.Нагорная (от ул. Труда до ул. Северная)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47060,0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5.14</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подземного газопровода высокого давления протяжённостью 0,25 км и надземного газопровода низкого давления протяжённостью 2,4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(Мичурина (от площади до Кооперативной)-Социалистическая (нечётная сторона от Пионерской до Кооперативной)-Волчанская (11 квартал)-пр. Комсомольский-М.Горького(8 квартал))</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5.15</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протяженностью 3,2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sz w:val="24"/>
                <w:szCs w:val="24"/>
              </w:rPr>
              <w:t xml:space="preserve"> </w:t>
            </w:r>
            <w:r w:rsidRPr="007F425D">
              <w:rPr>
                <w:rFonts w:ascii="Times New Roman" w:hAnsi="Times New Roman" w:cs="Times New Roman"/>
                <w:i/>
                <w:iCs/>
                <w:sz w:val="24"/>
                <w:szCs w:val="24"/>
              </w:rPr>
              <w:t>(Карпинского (от Парковой до Ур. Комсомола)-Кольцевая (от Парковой до Ур. Комсомола)-М.Окружная (от Парковой до Ур. Комсомола)-пер. Серова-пер. Макарьевский )</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11584,0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5.16</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Строительство надземного газопровода низкого давления протяженностью 5,3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(Центральная-Матросова-Парковая (чётная сторона)-Карпинского (от Центральной до Парковой) Физкультурная (от Центральной до Парковой)-Октябрьская (от Центральной до Парковой)-Парковая (нечётная сторона)-пер. Малый-Амбулаторная-Карпинского-Физкультурная-Восточная-Октябрьская-Стахановская-Восточная-Короленко-Советская)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19186,0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8326,0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8326,0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5.17</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надземного газопровода низкого давления протяженностью 7,3 км</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(Социалистическая-Североуральская-пер. Кооперативный-Островского-Талицкая, Волчанская-Кооперативная (от Талицкой до Социалистической)-Молодёжная (от Талицкой до Социалистической))</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26426,0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5.18</w:t>
            </w:r>
          </w:p>
        </w:tc>
        <w:tc>
          <w:tcPr>
            <w:tcW w:w="334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b/>
                <w:bCs/>
                <w:sz w:val="24"/>
                <w:szCs w:val="24"/>
              </w:rPr>
              <w:t xml:space="preserve">Проектирование подземного газопровода высокого давления протяжённостью 1,3 км и надземного газопровода низкого давления протяжённостью 1,1 км                              </w:t>
            </w:r>
          </w:p>
          <w:p w:rsidR="008B6C17" w:rsidRPr="007F425D" w:rsidRDefault="008B6C17" w:rsidP="007F425D">
            <w:pPr>
              <w:autoSpaceDE w:val="0"/>
              <w:autoSpaceDN w:val="0"/>
              <w:adjustRightInd w:val="0"/>
              <w:spacing w:after="0" w:line="240" w:lineRule="auto"/>
              <w:jc w:val="both"/>
              <w:rPr>
                <w:rFonts w:ascii="Times New Roman" w:hAnsi="Times New Roman" w:cs="Times New Roman"/>
                <w:b/>
                <w:bCs/>
                <w:sz w:val="24"/>
                <w:szCs w:val="24"/>
              </w:rPr>
            </w:pPr>
            <w:r w:rsidRPr="007F425D">
              <w:rPr>
                <w:rFonts w:ascii="Times New Roman" w:hAnsi="Times New Roman" w:cs="Times New Roman"/>
                <w:i/>
                <w:iCs/>
                <w:sz w:val="24"/>
                <w:szCs w:val="24"/>
              </w:rPr>
              <w:t>(Ст. Л. Волчанка)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ЗАО «Газекс»</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c>
          <w:tcPr>
            <w:tcW w:w="108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1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8"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7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8688,0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СИСТЕМА ОБРАЩЕНИЯ С ТБО</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2023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13096,0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370,0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1810,0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1490,0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6824,0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грунтовой  дороги и асфальтобетонных участков</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Устройство котлована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1230,0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6.3</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административно-бытового помещения</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6.4</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пожарного резервуара</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6.5</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Ограждение полигона по всему периметру</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260,0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6.6</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поливомоечной машины КО-829АД-01</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1502,0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6.7</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бульдозера  ДТ-170</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3062,0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6.8</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весового оборудования модели БВ2-30000-4.2 (1,2)</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6.9</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Приобретение самоходного катка ДУ - 98</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 МУП «ВАЭТ»</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2612,0</w:t>
            </w:r>
          </w:p>
        </w:tc>
      </w:tr>
      <w:tr w:rsidR="008B6C17" w:rsidRPr="007F425D">
        <w:trPr>
          <w:tblCellSpacing w:w="5" w:type="nil"/>
        </w:trPr>
        <w:tc>
          <w:tcPr>
            <w:tcW w:w="928"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6.10</w:t>
            </w:r>
          </w:p>
        </w:tc>
        <w:tc>
          <w:tcPr>
            <w:tcW w:w="3341" w:type="dxa"/>
            <w:gridSpan w:val="3"/>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spacing w:line="240" w:lineRule="auto"/>
              <w:jc w:val="both"/>
              <w:rPr>
                <w:rFonts w:ascii="Times New Roman" w:hAnsi="Times New Roman" w:cs="Times New Roman"/>
                <w:sz w:val="24"/>
                <w:szCs w:val="24"/>
              </w:rPr>
            </w:pPr>
            <w:r w:rsidRPr="007F425D">
              <w:rPr>
                <w:rFonts w:ascii="Times New Roman" w:hAnsi="Times New Roman" w:cs="Times New Roman"/>
                <w:sz w:val="24"/>
                <w:szCs w:val="24"/>
              </w:rPr>
              <w:t>Строительство контрольно дезинфицирующей зоны</w:t>
            </w:r>
          </w:p>
        </w:tc>
        <w:tc>
          <w:tcPr>
            <w:tcW w:w="244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0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44"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1150,0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7F425D">
              <w:rPr>
                <w:rFonts w:ascii="Times New Roman" w:hAnsi="Times New Roman" w:cs="Times New Roman"/>
                <w:sz w:val="24"/>
                <w:szCs w:val="24"/>
              </w:rPr>
              <w:t>МЕРОПРИЯТИЯ ПО ЭНЕРГОСБЕРЕЖЕНИЮ И ПОВЫШЕНИЮ ЭНЕРГЕТИЧЕСКОЙ ЭФФЕКТИВНОСТИ</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15138" w:type="dxa"/>
            <w:gridSpan w:val="19"/>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outlineLvl w:val="4"/>
              <w:rPr>
                <w:rFonts w:ascii="Times New Roman" w:hAnsi="Times New Roman" w:cs="Times New Roman"/>
                <w:sz w:val="24"/>
                <w:szCs w:val="24"/>
              </w:rPr>
            </w:pPr>
            <w:r w:rsidRPr="007F425D">
              <w:rPr>
                <w:rFonts w:ascii="Times New Roman" w:hAnsi="Times New Roman" w:cs="Times New Roman"/>
                <w:sz w:val="24"/>
                <w:szCs w:val="24"/>
              </w:rPr>
              <w:t>ПЕРСПЕКТИВНЫЕ МЕРОПРИЯТИЯ</w:t>
            </w:r>
          </w:p>
        </w:tc>
      </w:tr>
      <w:tr w:rsidR="008B6C17" w:rsidRPr="007F425D">
        <w:trPr>
          <w:trHeight w:val="114"/>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Итого</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98638,0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1698,0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11710,0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9810,0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2110,0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62210,0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Приобретение  и установка тепловых насосов в муниципальных учреждениях</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Переоборудование осветительного оборудования в муниципальных учреждениях с заменой неэффективного на энергосберегающее</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Повышение эффективности тепловой защиты ограждающих конструкций зданий и сооружений  муниципальных учреждений с использованием современных материалов</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3200,0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800,0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7.4</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Уличное освещение. Модернизация систем и объектов наружного освещения путем замены светильников уличного освещения с неэффективными дуговыми лампами высокого давления на новые с использованием натриевых ламп высокого давления, а также систем управления уличным освещением и организацией многотарифного учета потребления электрической энергии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1300,0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7.5</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Субсидии на возмещение затрат от реализации мероприятий по энергосбережению и повышению энергетической эффективности в отношении общего имущества собственников помещений в многоквартирных домах на территории Волчанского городского округа</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7.6</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b/>
                <w:bCs/>
                <w:sz w:val="24"/>
                <w:szCs w:val="24"/>
              </w:rPr>
              <w:t>Монтаж узла коммерческого учета тепловой энергии на газомазутной котельной МУП «Волчанский ТЭК» по  адресу ул. Физкультурная 19</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598,0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Разработка энергетических паспортов жилых зданий с присвоением класса эффективности,энергетические обследования зданий, строений и сооружений предприятий ЖКХ, с разработкой энергетического паспорта, технические освидетельствование зданий, строений и сооружений</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7.8</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Реконструкция угольной котельной с переводом на сжиженный газ, с переходом в дальнейшем на природный газ в пос. Вьюжном мощностью 1,2 МВт</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9000,0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7.9</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Строительство локальных котельных в северной части города взамен котельной ВМЗ суммарной мощностью 25 МВт</w:t>
            </w:r>
          </w:p>
          <w:p w:rsidR="008B6C17" w:rsidRPr="007F425D" w:rsidRDefault="008B6C17" w:rsidP="007F425D">
            <w:pPr>
              <w:pStyle w:val="ConsPlusCell"/>
              <w:jc w:val="both"/>
              <w:rPr>
                <w:rFonts w:ascii="Times New Roman" w:hAnsi="Times New Roman" w:cs="Times New Roman"/>
                <w:b/>
                <w:bCs/>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60000,0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7.10</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Модернизация электроснабжения насосной станции теплоснабжения и ЦТП в северной части города с доведением надежности электроснабжения до 1 категории надежности с заменой  сетевых насосов и частотного преобразователя</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7700,0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7.11</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Замена устаревшего энергоемкого оборудования на современное энергоэффективное на объектах ЖКХ</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2016-2030</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1400,0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7.12</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b/>
                <w:bCs/>
                <w:sz w:val="24"/>
                <w:szCs w:val="24"/>
              </w:rPr>
            </w:pPr>
            <w:r w:rsidRPr="007F425D">
              <w:rPr>
                <w:rFonts w:ascii="Times New Roman" w:hAnsi="Times New Roman" w:cs="Times New Roman"/>
                <w:b/>
                <w:bCs/>
                <w:sz w:val="24"/>
                <w:szCs w:val="24"/>
              </w:rPr>
              <w:t>Разработка проектов установки приборов учета на участки МУП «Водоканал»</w:t>
            </w: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855"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7.13</w:t>
            </w:r>
          </w:p>
        </w:tc>
        <w:tc>
          <w:tcPr>
            <w:tcW w:w="334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pStyle w:val="ConsPlusCell"/>
              <w:jc w:val="both"/>
              <w:rPr>
                <w:rFonts w:ascii="Times New Roman" w:hAnsi="Times New Roman" w:cs="Times New Roman"/>
                <w:sz w:val="24"/>
                <w:szCs w:val="24"/>
              </w:rPr>
            </w:pPr>
            <w:r w:rsidRPr="007F425D">
              <w:rPr>
                <w:rFonts w:ascii="Times New Roman" w:hAnsi="Times New Roman" w:cs="Times New Roman"/>
                <w:sz w:val="24"/>
                <w:szCs w:val="24"/>
              </w:rPr>
              <w:t>Актуализация схемы теплоснабжения Волчанского городского округа</w:t>
            </w:r>
          </w:p>
          <w:p w:rsidR="008B6C17" w:rsidRPr="007F425D" w:rsidRDefault="008B6C17" w:rsidP="007F425D">
            <w:pPr>
              <w:pStyle w:val="ConsPlusCell"/>
              <w:jc w:val="both"/>
              <w:rPr>
                <w:rFonts w:ascii="Times New Roman" w:hAnsi="Times New Roman" w:cs="Times New Roman"/>
                <w:b/>
                <w:bCs/>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r w:rsidR="008B6C17" w:rsidRPr="007F425D">
        <w:trPr>
          <w:tblCellSpacing w:w="5" w:type="nil"/>
        </w:trPr>
        <w:tc>
          <w:tcPr>
            <w:tcW w:w="6718"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40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34"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100,0</w:t>
            </w:r>
          </w:p>
        </w:tc>
        <w:tc>
          <w:tcPr>
            <w:tcW w:w="115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071" w:type="dxa"/>
            <w:gridSpan w:val="3"/>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94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461"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r>
    </w:tbl>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Таблица 8.2. СВОДНЫЙ РАЗМЕР КАПИТАЛЬНЫХ ВЛОЖЕНИЙ</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ПО ИСТОЧНИКАМ ФИНАНСИРОВАНИЯ</w:t>
      </w:r>
    </w:p>
    <w:p w:rsidR="008B6C17" w:rsidRPr="007F425D" w:rsidRDefault="008B6C17" w:rsidP="007F425D">
      <w:pPr>
        <w:spacing w:after="0" w:line="240" w:lineRule="auto"/>
        <w:ind w:firstLine="709"/>
        <w:jc w:val="both"/>
        <w:rPr>
          <w:rFonts w:ascii="Times New Roman" w:hAnsi="Times New Roman" w:cs="Times New Roman"/>
          <w:caps/>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0" w:type="auto"/>
        <w:tblCellSpacing w:w="5" w:type="nil"/>
        <w:tblInd w:w="2" w:type="dxa"/>
        <w:tblLayout w:type="fixed"/>
        <w:tblCellMar>
          <w:left w:w="75" w:type="dxa"/>
          <w:right w:w="75" w:type="dxa"/>
        </w:tblCellMar>
        <w:tblLook w:val="0000"/>
      </w:tblPr>
      <w:tblGrid>
        <w:gridCol w:w="605"/>
        <w:gridCol w:w="4762"/>
        <w:gridCol w:w="1247"/>
        <w:gridCol w:w="1134"/>
        <w:gridCol w:w="1247"/>
        <w:gridCol w:w="1191"/>
        <w:gridCol w:w="1191"/>
        <w:gridCol w:w="1085"/>
        <w:gridCol w:w="184"/>
        <w:gridCol w:w="1063"/>
      </w:tblGrid>
      <w:tr w:rsidR="008B6C17" w:rsidRPr="007F425D">
        <w:trPr>
          <w:tblCellSpacing w:w="5" w:type="nil"/>
        </w:trPr>
        <w:tc>
          <w:tcPr>
            <w:tcW w:w="680"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п/п</w:t>
            </w:r>
          </w:p>
        </w:tc>
        <w:tc>
          <w:tcPr>
            <w:tcW w:w="4762"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Наименование мероприятий</w:t>
            </w:r>
          </w:p>
        </w:tc>
        <w:tc>
          <w:tcPr>
            <w:tcW w:w="1247" w:type="dxa"/>
            <w:vMerge w:val="restart"/>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Всего, тыс руб.</w:t>
            </w:r>
          </w:p>
        </w:tc>
        <w:tc>
          <w:tcPr>
            <w:tcW w:w="7095" w:type="dxa"/>
            <w:gridSpan w:val="7"/>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4"/>
                <w:szCs w:val="24"/>
              </w:rPr>
            </w:pPr>
            <w:r w:rsidRPr="007F425D">
              <w:rPr>
                <w:rFonts w:ascii="Times New Roman" w:hAnsi="Times New Roman" w:cs="Times New Roman"/>
                <w:sz w:val="24"/>
                <w:szCs w:val="24"/>
              </w:rPr>
              <w:t>В том числе по годам, тыс. руб.</w:t>
            </w:r>
          </w:p>
        </w:tc>
      </w:tr>
      <w:tr w:rsidR="008B6C17" w:rsidRPr="007F425D">
        <w:trPr>
          <w:tblCellSpacing w:w="5" w:type="nil"/>
        </w:trPr>
        <w:tc>
          <w:tcPr>
            <w:tcW w:w="680"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4762"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2015</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2016</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2017</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2018</w:t>
            </w:r>
          </w:p>
        </w:tc>
        <w:tc>
          <w:tcPr>
            <w:tcW w:w="1269"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2019</w:t>
            </w:r>
          </w:p>
        </w:tc>
        <w:tc>
          <w:tcPr>
            <w:tcW w:w="1063"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2020 - 2030</w:t>
            </w:r>
          </w:p>
        </w:tc>
      </w:tr>
      <w:tr w:rsidR="008B6C17" w:rsidRPr="007F425D">
        <w:trPr>
          <w:tblCellSpacing w:w="5" w:type="nil"/>
        </w:trPr>
        <w:tc>
          <w:tcPr>
            <w:tcW w:w="13784" w:type="dxa"/>
            <w:gridSpan w:val="10"/>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Сводный объем финансирования по всем системам</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Требуемый объем финансирования до 2030 года по источникам:</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573200,9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23198,66</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92464,0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73118,0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73320,0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120818,2</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190282,0</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Собственные средства предприятий</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15860,0</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500,0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1500,0</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10860,0</w:t>
            </w:r>
          </w:p>
        </w:tc>
      </w:tr>
      <w:tr w:rsidR="008B6C17" w:rsidRPr="007F425D">
        <w:trPr>
          <w:tblCellSpacing w:w="5" w:type="nil"/>
        </w:trPr>
        <w:tc>
          <w:tcPr>
            <w:tcW w:w="5442"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Прочие средства (бюджетные и кредитные)</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557340,9</w:t>
            </w:r>
          </w:p>
        </w:tc>
        <w:tc>
          <w:tcPr>
            <w:tcW w:w="113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91964,00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71618,0</w:t>
            </w:r>
          </w:p>
        </w:tc>
        <w:tc>
          <w:tcPr>
            <w:tcW w:w="119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71820,0</w:t>
            </w:r>
          </w:p>
        </w:tc>
        <w:tc>
          <w:tcPr>
            <w:tcW w:w="108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119318,2</w:t>
            </w:r>
          </w:p>
        </w:tc>
        <w:tc>
          <w:tcPr>
            <w:tcW w:w="1247"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r w:rsidRPr="007F425D">
              <w:rPr>
                <w:rFonts w:ascii="Times New Roman" w:hAnsi="Times New Roman" w:cs="Times New Roman"/>
                <w:sz w:val="24"/>
                <w:szCs w:val="24"/>
              </w:rPr>
              <w:t>179422,0</w:t>
            </w:r>
          </w:p>
        </w:tc>
      </w:tr>
    </w:tbl>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7F425D">
        <w:rPr>
          <w:rFonts w:ascii="Times New Roman" w:hAnsi="Times New Roman" w:cs="Times New Roman"/>
          <w:sz w:val="24"/>
          <w:szCs w:val="24"/>
        </w:rPr>
        <w:br w:type="page"/>
      </w: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7F425D">
        <w:rPr>
          <w:rFonts w:ascii="Times New Roman" w:hAnsi="Times New Roman" w:cs="Times New Roman"/>
          <w:sz w:val="28"/>
          <w:szCs w:val="28"/>
        </w:rPr>
        <w:t>9. РЕЗУЛЬТАТ ОЦЕНКИ СОВОКУПНОГО ПЛАТЕЖА ГРАЖДАН</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ЗА КОММУНАЛЬНЫЕ УСЛУГИ НА СООТВЕТСТВИЕ</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КРИТЕРИЯМ ДОСТУПНОСТИ</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При реализации мероприятий Программы «Комплексное развитие систем коммунальной инфраструктуры Волчанского городского округа до 2030 года» тарифы на коммунальные услуги в Волчанском городском округе будут изменяться следующим образом:</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bookmarkStart w:id="21" w:name="Par20770"/>
      <w:bookmarkEnd w:id="21"/>
      <w:r w:rsidRPr="007F425D">
        <w:rPr>
          <w:rFonts w:ascii="Times New Roman" w:hAnsi="Times New Roman" w:cs="Times New Roman"/>
          <w:sz w:val="28"/>
          <w:szCs w:val="28"/>
        </w:rPr>
        <w:t>Таблица 9.1. ИЗМЕНЕНИЕ ТАРИФОВ</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НА КОММУНАЛЬНЫЕ УСЛУГИ ПО ГОДАМ</w:t>
      </w:r>
    </w:p>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8"/>
          <w:szCs w:val="28"/>
        </w:rPr>
      </w:pPr>
    </w:p>
    <w:tbl>
      <w:tblPr>
        <w:tblW w:w="15309" w:type="dxa"/>
        <w:tblCellSpacing w:w="5" w:type="nil"/>
        <w:tblInd w:w="2" w:type="dxa"/>
        <w:tblLayout w:type="fixed"/>
        <w:tblCellMar>
          <w:left w:w="75" w:type="dxa"/>
          <w:right w:w="75" w:type="dxa"/>
        </w:tblCellMar>
        <w:tblLook w:val="0000"/>
      </w:tblPr>
      <w:tblGrid>
        <w:gridCol w:w="427"/>
        <w:gridCol w:w="2316"/>
        <w:gridCol w:w="763"/>
        <w:gridCol w:w="690"/>
        <w:gridCol w:w="689"/>
        <w:gridCol w:w="689"/>
        <w:gridCol w:w="690"/>
        <w:gridCol w:w="690"/>
        <w:gridCol w:w="690"/>
        <w:gridCol w:w="690"/>
        <w:gridCol w:w="690"/>
        <w:gridCol w:w="690"/>
        <w:gridCol w:w="690"/>
        <w:gridCol w:w="690"/>
        <w:gridCol w:w="690"/>
        <w:gridCol w:w="690"/>
        <w:gridCol w:w="690"/>
        <w:gridCol w:w="690"/>
        <w:gridCol w:w="690"/>
        <w:gridCol w:w="690"/>
      </w:tblGrid>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№п/п</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Показатель</w:t>
            </w:r>
          </w:p>
        </w:tc>
        <w:tc>
          <w:tcPr>
            <w:tcW w:w="1476" w:type="dxa"/>
            <w:gridSpan w:val="2"/>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Значение показателей на 01.07.2014</w:t>
            </w:r>
          </w:p>
        </w:tc>
        <w:tc>
          <w:tcPr>
            <w:tcW w:w="70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2015</w:t>
            </w:r>
          </w:p>
        </w:tc>
        <w:tc>
          <w:tcPr>
            <w:tcW w:w="70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2016</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2017</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2018</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2019</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2020</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2021</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2022</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2023</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2024</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2025</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2026</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2027</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2028</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2029</w:t>
            </w: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2030</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0"/>
                <w:szCs w:val="20"/>
              </w:rPr>
            </w:pPr>
            <w:bookmarkStart w:id="22" w:name="Par20786"/>
            <w:bookmarkEnd w:id="22"/>
            <w:r w:rsidRPr="007F425D">
              <w:rPr>
                <w:rFonts w:ascii="Times New Roman" w:hAnsi="Times New Roman" w:cs="Times New Roman"/>
                <w:sz w:val="20"/>
                <w:szCs w:val="20"/>
              </w:rPr>
              <w:t>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Отопление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0"/>
                <w:szCs w:val="20"/>
              </w:rPr>
            </w:pPr>
            <w:bookmarkStart w:id="23" w:name="Par20800"/>
            <w:bookmarkEnd w:id="23"/>
            <w:r w:rsidRPr="007F425D">
              <w:rPr>
                <w:rFonts w:ascii="Times New Roman" w:hAnsi="Times New Roman" w:cs="Times New Roman"/>
                <w:sz w:val="20"/>
                <w:szCs w:val="20"/>
              </w:rPr>
              <w:t>1.1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Тариф за тепловую энергию с НДС:</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1.1.1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ООО «Север»</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Руб./Гкал</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1311,61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1332,35</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1398,97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1468,92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1542,36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1619,48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1700,45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1785,48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1874,75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1968,49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2066,91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2170,26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2278,77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2392,71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2512,34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2637,96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2769,96</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1.1.2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МУП «ВТЭК»</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Руб./Гкал</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1463,23</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1498,91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1573,86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1652,55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1735,18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1821,93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1913,03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2008,68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2109,12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2214,57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2325,30</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2441,57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2563,64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2691,83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2826,42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2967,74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3116,13</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0"/>
                <w:szCs w:val="20"/>
              </w:rPr>
            </w:pPr>
            <w:bookmarkStart w:id="24" w:name="Par20856"/>
            <w:bookmarkEnd w:id="24"/>
            <w:r w:rsidRPr="007F425D">
              <w:rPr>
                <w:rFonts w:ascii="Times New Roman" w:hAnsi="Times New Roman" w:cs="Times New Roman"/>
                <w:sz w:val="20"/>
                <w:szCs w:val="20"/>
              </w:rPr>
              <w:t>1.2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Норматив потребления</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Гкал/м2 в месяц</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0,0221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0,0221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0,0243</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0"/>
                <w:szCs w:val="20"/>
              </w:rPr>
            </w:pPr>
            <w:bookmarkStart w:id="25" w:name="Par20870"/>
            <w:bookmarkEnd w:id="25"/>
            <w:r w:rsidRPr="007F425D">
              <w:rPr>
                <w:rFonts w:ascii="Times New Roman" w:hAnsi="Times New Roman" w:cs="Times New Roman"/>
                <w:sz w:val="20"/>
                <w:szCs w:val="20"/>
              </w:rPr>
              <w:t>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Холодное водоснабжение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0"/>
                <w:szCs w:val="20"/>
              </w:rPr>
            </w:pPr>
            <w:bookmarkStart w:id="26" w:name="Par20884"/>
            <w:bookmarkEnd w:id="26"/>
            <w:r w:rsidRPr="007F425D">
              <w:rPr>
                <w:rFonts w:ascii="Times New Roman" w:hAnsi="Times New Roman" w:cs="Times New Roman"/>
                <w:sz w:val="20"/>
                <w:szCs w:val="20"/>
              </w:rPr>
              <w:t>2.1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Тариф на воду с НДС:</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2.1.1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МУП «Водоканал»</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Руб./м3</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38,61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39,01</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40,96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43,01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45,16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47,42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49,79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52,28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54,89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57,64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60,52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63,4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66,72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70,06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73,56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77,24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81,10</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5"/>
              <w:rPr>
                <w:rFonts w:ascii="Times New Roman" w:hAnsi="Times New Roman" w:cs="Times New Roman"/>
                <w:sz w:val="20"/>
                <w:szCs w:val="20"/>
              </w:rPr>
            </w:pPr>
            <w:bookmarkStart w:id="27" w:name="Par20940"/>
            <w:bookmarkEnd w:id="27"/>
            <w:r w:rsidRPr="007F425D">
              <w:rPr>
                <w:rFonts w:ascii="Times New Roman" w:hAnsi="Times New Roman" w:cs="Times New Roman"/>
                <w:sz w:val="20"/>
                <w:szCs w:val="20"/>
              </w:rPr>
              <w:t>2.2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Норматив потребления на жилое помещение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м3/чел. в месяц</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4,85</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4,85</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5,34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outlineLvl w:val="4"/>
              <w:rPr>
                <w:rFonts w:ascii="Times New Roman" w:hAnsi="Times New Roman" w:cs="Times New Roman"/>
                <w:sz w:val="20"/>
                <w:szCs w:val="20"/>
              </w:rPr>
            </w:pPr>
            <w:bookmarkStart w:id="28" w:name="Par20954"/>
            <w:bookmarkEnd w:id="28"/>
            <w:r w:rsidRPr="007F425D">
              <w:rPr>
                <w:rFonts w:ascii="Times New Roman" w:hAnsi="Times New Roman" w:cs="Times New Roman"/>
                <w:sz w:val="20"/>
                <w:szCs w:val="20"/>
              </w:rPr>
              <w:t>3.</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Водоотведение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3.1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Тариф на водоотведение с НДС:</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3.1.1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МУП «Водоканал»</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Руб./м3</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27,05</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27,32</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28,69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30,12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31,63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33,21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34,87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36,61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38,44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40,36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42,38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44,50</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46,73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49,06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51,51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54,09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56,79</w:t>
            </w:r>
          </w:p>
        </w:tc>
      </w:tr>
      <w:tr w:rsidR="008B6C17" w:rsidRPr="007F425D">
        <w:trPr>
          <w:trHeight w:val="697"/>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3.2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Норматив потребления на жилое помещение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м3/чел. в месяц</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8,86</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8,86</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9,75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10,73</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Электроэнергия</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Тариф для населения с НДС:</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4.1.1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С электроплитами</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Руб./кВтч</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2,15</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2,30</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2,42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2,58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2,77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2,96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3,17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3,39</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3,63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3,88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4,15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4,44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4,75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5,08</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5,44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6,23</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4.1.2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С газовыми плитами</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Руб./кВтч</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3,07</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3,28</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3,51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3,76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4,31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4,61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4,93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5,27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6,04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6,46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6,91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7,40</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7,92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8,47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9,06</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Норматив потребления</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кВтч/чел. в месяц</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5</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Газоснабжение</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5.1</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Тариф для населения с НДС:</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Руб./м3</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4,64</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4,83</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5,22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 xml:space="preserve"> 5,43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5,65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5,87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6,11</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6,35</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6,60</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6,87</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7,14</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7,43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7,73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8,03</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8,36</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8,69</w:t>
            </w:r>
          </w:p>
        </w:tc>
      </w:tr>
      <w:tr w:rsidR="008B6C17" w:rsidRPr="007F425D">
        <w:trPr>
          <w:tblCellSpacing w:w="5" w:type="nil"/>
        </w:trPr>
        <w:tc>
          <w:tcPr>
            <w:tcW w:w="509"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5.2</w:t>
            </w:r>
          </w:p>
        </w:tc>
        <w:tc>
          <w:tcPr>
            <w:tcW w:w="2364"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Норматив потребления</w:t>
            </w:r>
          </w:p>
        </w:tc>
        <w:tc>
          <w:tcPr>
            <w:tcW w:w="775" w:type="dxa"/>
            <w:tcBorders>
              <w:top w:val="single" w:sz="4" w:space="0" w:color="auto"/>
              <w:left w:val="single" w:sz="4" w:space="0" w:color="auto"/>
              <w:bottom w:val="single" w:sz="4" w:space="0" w:color="auto"/>
              <w:right w:val="single" w:sz="4" w:space="0" w:color="auto"/>
            </w:tcBorders>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м3/чел. в месяц</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1"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c>
          <w:tcPr>
            <w:tcW w:w="702"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16"/>
                <w:szCs w:val="16"/>
              </w:rPr>
            </w:pPr>
            <w:r w:rsidRPr="007F425D">
              <w:rPr>
                <w:rFonts w:ascii="Times New Roman" w:hAnsi="Times New Roman" w:cs="Times New Roman"/>
                <w:sz w:val="16"/>
                <w:szCs w:val="16"/>
              </w:rPr>
              <w:t>10,2</w:t>
            </w:r>
          </w:p>
        </w:tc>
      </w:tr>
    </w:tbl>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8"/>
          <w:szCs w:val="28"/>
        </w:rPr>
      </w:pPr>
      <w:r w:rsidRPr="007F425D">
        <w:rPr>
          <w:rFonts w:ascii="Times New Roman" w:hAnsi="Times New Roman" w:cs="Times New Roman"/>
          <w:sz w:val="28"/>
          <w:szCs w:val="28"/>
        </w:rPr>
        <w:t>Таблица 9.2. РАСЧЕТ ВЕЛИЧИН ПЛАТЫ ЗА КОММУНАЛЬНЫЕ УСЛУГИ</w:t>
      </w: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0"/>
        <w:gridCol w:w="568"/>
        <w:gridCol w:w="753"/>
        <w:gridCol w:w="736"/>
        <w:gridCol w:w="712"/>
        <w:gridCol w:w="711"/>
        <w:gridCol w:w="711"/>
        <w:gridCol w:w="711"/>
        <w:gridCol w:w="711"/>
        <w:gridCol w:w="711"/>
        <w:gridCol w:w="736"/>
        <w:gridCol w:w="736"/>
        <w:gridCol w:w="736"/>
        <w:gridCol w:w="736"/>
        <w:gridCol w:w="736"/>
        <w:gridCol w:w="736"/>
        <w:gridCol w:w="736"/>
        <w:gridCol w:w="736"/>
        <w:gridCol w:w="736"/>
      </w:tblGrid>
      <w:tr w:rsidR="008B6C17" w:rsidRPr="007F425D">
        <w:tc>
          <w:tcPr>
            <w:tcW w:w="1838"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Показатель</w:t>
            </w:r>
          </w:p>
        </w:tc>
        <w:tc>
          <w:tcPr>
            <w:tcW w:w="1321" w:type="dxa"/>
            <w:gridSpan w:val="2"/>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Значение показателей на 01.07.2014</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2015</w:t>
            </w:r>
          </w:p>
        </w:tc>
        <w:tc>
          <w:tcPr>
            <w:tcW w:w="712"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2016</w:t>
            </w:r>
          </w:p>
        </w:tc>
        <w:tc>
          <w:tcPr>
            <w:tcW w:w="711"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2017</w:t>
            </w:r>
          </w:p>
        </w:tc>
        <w:tc>
          <w:tcPr>
            <w:tcW w:w="711"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2018</w:t>
            </w:r>
          </w:p>
        </w:tc>
        <w:tc>
          <w:tcPr>
            <w:tcW w:w="711"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2019</w:t>
            </w:r>
          </w:p>
        </w:tc>
        <w:tc>
          <w:tcPr>
            <w:tcW w:w="711"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2020</w:t>
            </w:r>
          </w:p>
        </w:tc>
        <w:tc>
          <w:tcPr>
            <w:tcW w:w="711"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2021</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2022</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2023</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2024</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2025</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2026</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2027</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2028</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2029</w:t>
            </w:r>
          </w:p>
        </w:tc>
        <w:tc>
          <w:tcPr>
            <w:tcW w:w="736" w:type="dxa"/>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2030</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Величина платы за КУ в месяц по тарифам с учетом программы:</w:t>
            </w:r>
          </w:p>
        </w:tc>
        <w:tc>
          <w:tcPr>
            <w:tcW w:w="568" w:type="dxa"/>
            <w:vMerge w:val="restart"/>
            <w:vAlign w:val="center"/>
          </w:tcPr>
          <w:p w:rsidR="008B6C17" w:rsidRPr="007F425D" w:rsidRDefault="008B6C17" w:rsidP="007F425D">
            <w:pPr>
              <w:spacing w:line="240" w:lineRule="auto"/>
              <w:jc w:val="center"/>
              <w:rPr>
                <w:rFonts w:ascii="Times New Roman" w:hAnsi="Times New Roman" w:cs="Times New Roman"/>
                <w:sz w:val="20"/>
                <w:szCs w:val="20"/>
              </w:rPr>
            </w:pPr>
            <w:r w:rsidRPr="007F425D">
              <w:rPr>
                <w:rFonts w:ascii="Times New Roman" w:hAnsi="Times New Roman" w:cs="Times New Roman"/>
                <w:sz w:val="20"/>
                <w:szCs w:val="20"/>
              </w:rPr>
              <w:t>руб.</w:t>
            </w:r>
          </w:p>
        </w:tc>
        <w:tc>
          <w:tcPr>
            <w:tcW w:w="753"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12" w:type="dxa"/>
          </w:tcPr>
          <w:p w:rsidR="008B6C17" w:rsidRPr="007F425D" w:rsidRDefault="008B6C17" w:rsidP="007F425D">
            <w:pPr>
              <w:spacing w:line="240" w:lineRule="auto"/>
              <w:rPr>
                <w:rFonts w:ascii="Times New Roman" w:hAnsi="Times New Roman" w:cs="Times New Roman"/>
                <w:sz w:val="18"/>
                <w:szCs w:val="18"/>
              </w:rPr>
            </w:pPr>
          </w:p>
        </w:tc>
        <w:tc>
          <w:tcPr>
            <w:tcW w:w="711" w:type="dxa"/>
          </w:tcPr>
          <w:p w:rsidR="008B6C17" w:rsidRPr="007F425D" w:rsidRDefault="008B6C17" w:rsidP="007F425D">
            <w:pPr>
              <w:spacing w:line="240" w:lineRule="auto"/>
              <w:rPr>
                <w:rFonts w:ascii="Times New Roman" w:hAnsi="Times New Roman" w:cs="Times New Roman"/>
                <w:sz w:val="18"/>
                <w:szCs w:val="18"/>
              </w:rPr>
            </w:pPr>
          </w:p>
        </w:tc>
        <w:tc>
          <w:tcPr>
            <w:tcW w:w="711" w:type="dxa"/>
          </w:tcPr>
          <w:p w:rsidR="008B6C17" w:rsidRPr="007F425D" w:rsidRDefault="008B6C17" w:rsidP="007F425D">
            <w:pPr>
              <w:spacing w:line="240" w:lineRule="auto"/>
              <w:rPr>
                <w:rFonts w:ascii="Times New Roman" w:hAnsi="Times New Roman" w:cs="Times New Roman"/>
                <w:sz w:val="18"/>
                <w:szCs w:val="18"/>
              </w:rPr>
            </w:pPr>
          </w:p>
        </w:tc>
        <w:tc>
          <w:tcPr>
            <w:tcW w:w="711" w:type="dxa"/>
          </w:tcPr>
          <w:p w:rsidR="008B6C17" w:rsidRPr="007F425D" w:rsidRDefault="008B6C17" w:rsidP="007F425D">
            <w:pPr>
              <w:spacing w:line="240" w:lineRule="auto"/>
              <w:rPr>
                <w:rFonts w:ascii="Times New Roman" w:hAnsi="Times New Roman" w:cs="Times New Roman"/>
                <w:sz w:val="18"/>
                <w:szCs w:val="18"/>
              </w:rPr>
            </w:pPr>
          </w:p>
        </w:tc>
        <w:tc>
          <w:tcPr>
            <w:tcW w:w="711" w:type="dxa"/>
          </w:tcPr>
          <w:p w:rsidR="008B6C17" w:rsidRPr="007F425D" w:rsidRDefault="008B6C17" w:rsidP="007F425D">
            <w:pPr>
              <w:spacing w:line="240" w:lineRule="auto"/>
              <w:rPr>
                <w:rFonts w:ascii="Times New Roman" w:hAnsi="Times New Roman" w:cs="Times New Roman"/>
                <w:sz w:val="18"/>
                <w:szCs w:val="18"/>
              </w:rPr>
            </w:pPr>
          </w:p>
        </w:tc>
        <w:tc>
          <w:tcPr>
            <w:tcW w:w="711"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c>
          <w:tcPr>
            <w:tcW w:w="736" w:type="dxa"/>
          </w:tcPr>
          <w:p w:rsidR="008B6C17" w:rsidRPr="007F425D" w:rsidRDefault="008B6C17" w:rsidP="007F425D">
            <w:pPr>
              <w:spacing w:line="240" w:lineRule="auto"/>
              <w:rPr>
                <w:rFonts w:ascii="Times New Roman" w:hAnsi="Times New Roman" w:cs="Times New Roman"/>
                <w:sz w:val="18"/>
                <w:szCs w:val="18"/>
              </w:rPr>
            </w:pP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Теплоснабжение</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1304,40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1325,02</w:t>
            </w:r>
          </w:p>
        </w:tc>
        <w:tc>
          <w:tcPr>
            <w:tcW w:w="712"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1391,27</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1460,83</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1533,88</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1610,57</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1691,10</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1775,65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1864,44</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1957,66</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2055,54</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2158,32</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2266,23</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2379,55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2498,52</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2623,45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2754,62</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Горячее водоснабжение</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976,11</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992,23</w:t>
            </w:r>
          </w:p>
        </w:tc>
        <w:tc>
          <w:tcPr>
            <w:tcW w:w="712"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1041,84</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1093,93</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1148,63</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1206,06</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1266,36</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1329,68</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1396,17</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1465,98</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1539,27</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1616,24</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1697,05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1781,90</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1871,0</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1964,55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2062,77</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ХВС</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561,78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567,60</w:t>
            </w:r>
          </w:p>
        </w:tc>
        <w:tc>
          <w:tcPr>
            <w:tcW w:w="712"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595,98</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625,78</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657,07</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689,92</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724,42</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760,64</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798,67</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838,60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880,53</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924,56</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970,79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1019,33</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1070,29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1123,81</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1180,0</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Водоотведение</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718,99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726,17</w:t>
            </w:r>
          </w:p>
        </w:tc>
        <w:tc>
          <w:tcPr>
            <w:tcW w:w="712"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762,48</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800,60</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840,63</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882,66</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926,80</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973,14</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1021,79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1021,79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1072,88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1126,52</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1182,85</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1241,99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1304,09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1369,29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1437,76</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Электроснабжение</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515,76</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551,86</w:t>
            </w:r>
          </w:p>
        </w:tc>
        <w:tc>
          <w:tcPr>
            <w:tcW w:w="712"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590,49</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631,83</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676,06</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723,38</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774,02</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828,20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886,17</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948,20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1014,58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1085,60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1161,59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1242,90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1329,90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1423,0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1522,61</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Газоснабжение</w:t>
            </w:r>
          </w:p>
        </w:tc>
        <w:tc>
          <w:tcPr>
            <w:tcW w:w="568" w:type="dxa"/>
            <w:vMerge/>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141,98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147,66</w:t>
            </w:r>
          </w:p>
        </w:tc>
        <w:tc>
          <w:tcPr>
            <w:tcW w:w="712"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153,57</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161,24</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169,31</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177,77</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186,66</w:t>
            </w:r>
          </w:p>
        </w:tc>
        <w:tc>
          <w:tcPr>
            <w:tcW w:w="711"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196,00</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205,79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216,08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226,89</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238,23</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250,14</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262,65</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275,78</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289,57</w:t>
            </w:r>
          </w:p>
        </w:tc>
        <w:tc>
          <w:tcPr>
            <w:tcW w:w="736" w:type="dxa"/>
            <w:vAlign w:val="center"/>
          </w:tcPr>
          <w:p w:rsidR="008B6C17" w:rsidRPr="007F425D" w:rsidRDefault="008B6C17" w:rsidP="007F425D">
            <w:pPr>
              <w:spacing w:line="240" w:lineRule="auto"/>
              <w:jc w:val="center"/>
              <w:rPr>
                <w:rFonts w:ascii="Times New Roman" w:hAnsi="Times New Roman" w:cs="Times New Roman"/>
                <w:sz w:val="16"/>
                <w:szCs w:val="16"/>
              </w:rPr>
            </w:pPr>
            <w:r w:rsidRPr="007F425D">
              <w:rPr>
                <w:rFonts w:ascii="Times New Roman" w:hAnsi="Times New Roman" w:cs="Times New Roman"/>
                <w:sz w:val="16"/>
                <w:szCs w:val="16"/>
              </w:rPr>
              <w:t>304,05</w:t>
            </w:r>
          </w:p>
        </w:tc>
      </w:tr>
      <w:tr w:rsidR="008B6C17" w:rsidRPr="007F425D">
        <w:tc>
          <w:tcPr>
            <w:tcW w:w="1838"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Итого:</w:t>
            </w:r>
          </w:p>
        </w:tc>
        <w:tc>
          <w:tcPr>
            <w:tcW w:w="568" w:type="dxa"/>
          </w:tcPr>
          <w:p w:rsidR="008B6C17" w:rsidRPr="007F425D" w:rsidRDefault="008B6C17" w:rsidP="007F425D">
            <w:pPr>
              <w:spacing w:line="240" w:lineRule="auto"/>
              <w:rPr>
                <w:rFonts w:ascii="Times New Roman" w:hAnsi="Times New Roman" w:cs="Times New Roman"/>
                <w:sz w:val="24"/>
                <w:szCs w:val="24"/>
              </w:rPr>
            </w:pPr>
          </w:p>
        </w:tc>
        <w:tc>
          <w:tcPr>
            <w:tcW w:w="753"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4219,02</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4310,54</w:t>
            </w:r>
          </w:p>
        </w:tc>
        <w:tc>
          <w:tcPr>
            <w:tcW w:w="712"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4535,63</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4774,26</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5025,58</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5290,36</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5569,36</w:t>
            </w:r>
          </w:p>
        </w:tc>
        <w:tc>
          <w:tcPr>
            <w:tcW w:w="711"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5863,31</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6173,03</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6448,31</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6789,69</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7149,47</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7528,65</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7928,32</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8349,58</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8793,67</w:t>
            </w:r>
          </w:p>
        </w:tc>
        <w:tc>
          <w:tcPr>
            <w:tcW w:w="736" w:type="dxa"/>
            <w:vAlign w:val="center"/>
          </w:tcPr>
          <w:p w:rsidR="008B6C17" w:rsidRPr="007F425D" w:rsidRDefault="008B6C17" w:rsidP="007F425D">
            <w:pPr>
              <w:spacing w:line="240" w:lineRule="auto"/>
              <w:jc w:val="center"/>
              <w:rPr>
                <w:rFonts w:ascii="Times New Roman" w:hAnsi="Times New Roman" w:cs="Times New Roman"/>
                <w:sz w:val="14"/>
                <w:szCs w:val="14"/>
              </w:rPr>
            </w:pPr>
            <w:r w:rsidRPr="007F425D">
              <w:rPr>
                <w:rFonts w:ascii="Times New Roman" w:hAnsi="Times New Roman" w:cs="Times New Roman"/>
                <w:sz w:val="14"/>
                <w:szCs w:val="14"/>
              </w:rPr>
              <w:t>9261,81</w:t>
            </w:r>
          </w:p>
        </w:tc>
      </w:tr>
    </w:tbl>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p>
    <w:p w:rsidR="008B6C17" w:rsidRPr="007F425D" w:rsidRDefault="008B6C17" w:rsidP="007F425D">
      <w:pPr>
        <w:spacing w:after="0" w:line="240" w:lineRule="auto"/>
        <w:ind w:firstLine="708"/>
        <w:jc w:val="both"/>
        <w:rPr>
          <w:rFonts w:ascii="Times New Roman" w:hAnsi="Times New Roman" w:cs="Times New Roman"/>
          <w:sz w:val="28"/>
          <w:szCs w:val="28"/>
        </w:rPr>
      </w:pPr>
      <w:r w:rsidRPr="007F425D">
        <w:rPr>
          <w:rFonts w:ascii="Times New Roman" w:hAnsi="Times New Roman" w:cs="Times New Roman"/>
          <w:sz w:val="28"/>
          <w:szCs w:val="28"/>
        </w:rPr>
        <w:t>Расчет величины платы за коммунальные услуги по нормативам потребления приведен для двухкомнатной квартиры площадью 45 м2, расположенной в многоквартирном доме, в которой проживает 3 человека. Дом оборудован газом, централизованным теплоснабжением,  горячим водоснабжением, присутствует централизованное холодное водоснабжение и ванна длиной 1500 мм. Тарифы приняты на момент 01.01.2015 г.</w:t>
      </w:r>
    </w:p>
    <w:p w:rsidR="008B6C17" w:rsidRPr="007F425D" w:rsidRDefault="008B6C17" w:rsidP="007F425D">
      <w:pPr>
        <w:widowControl w:val="0"/>
        <w:autoSpaceDE w:val="0"/>
        <w:autoSpaceDN w:val="0"/>
        <w:adjustRightInd w:val="0"/>
        <w:spacing w:after="0" w:line="240" w:lineRule="auto"/>
        <w:jc w:val="both"/>
        <w:outlineLvl w:val="3"/>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3"/>
        <w:rPr>
          <w:rFonts w:ascii="Times New Roman" w:hAnsi="Times New Roman" w:cs="Times New Roman"/>
          <w:sz w:val="24"/>
          <w:szCs w:val="24"/>
        </w:rPr>
      </w:pPr>
    </w:p>
    <w:p w:rsidR="008B6C17" w:rsidRPr="007F425D" w:rsidRDefault="008B6C17" w:rsidP="007F425D">
      <w:pPr>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Таблица 9.3. ИНДЕКСЫ РОСТА ЦЕН  НА ПЛАТНЫЕ УСЛУГИ НАСЕЛЕНИЮ И</w:t>
      </w:r>
    </w:p>
    <w:p w:rsidR="008B6C17" w:rsidRPr="007F425D" w:rsidRDefault="008B6C17" w:rsidP="007F425D">
      <w:pPr>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ИНДЕКСЫ РОСТА ТАРИФОВ НА КОММУНАЛЬНЫЕ УСЛУГИ</w:t>
      </w:r>
    </w:p>
    <w:p w:rsidR="008B6C17" w:rsidRPr="007F425D" w:rsidRDefault="008B6C17" w:rsidP="007F425D">
      <w:pPr>
        <w:spacing w:after="0" w:line="240" w:lineRule="auto"/>
        <w:jc w:val="center"/>
        <w:rPr>
          <w:rFonts w:ascii="Times New Roman" w:hAnsi="Times New Roman" w:cs="Times New Roman"/>
          <w:sz w:val="28"/>
          <w:szCs w:val="28"/>
        </w:rPr>
      </w:pP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134"/>
        <w:gridCol w:w="1134"/>
        <w:gridCol w:w="1134"/>
        <w:gridCol w:w="1134"/>
        <w:gridCol w:w="1134"/>
        <w:gridCol w:w="1134"/>
        <w:gridCol w:w="1134"/>
        <w:gridCol w:w="1134"/>
        <w:gridCol w:w="1134"/>
        <w:gridCol w:w="1134"/>
        <w:gridCol w:w="1134"/>
      </w:tblGrid>
      <w:tr w:rsidR="008B6C17" w:rsidRPr="007F425D">
        <w:tc>
          <w:tcPr>
            <w:tcW w:w="2376" w:type="dxa"/>
          </w:tcPr>
          <w:p w:rsidR="008B6C17" w:rsidRPr="007F425D" w:rsidRDefault="008B6C17" w:rsidP="007F425D">
            <w:pPr>
              <w:spacing w:line="240" w:lineRule="auto"/>
              <w:rPr>
                <w:rFonts w:ascii="Times New Roman" w:hAnsi="Times New Roman" w:cs="Times New Roman"/>
                <w:sz w:val="24"/>
                <w:szCs w:val="24"/>
              </w:rPr>
            </w:pPr>
            <w:r w:rsidRPr="007F425D">
              <w:rPr>
                <w:rFonts w:ascii="Times New Roman" w:hAnsi="Times New Roman" w:cs="Times New Roman"/>
                <w:sz w:val="24"/>
                <w:szCs w:val="24"/>
              </w:rPr>
              <w:t>Показатель</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2015/2014</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2016/2015</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2017/2016</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2018/2017</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2019/2018</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2020/2019</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2021/2020</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2022/2021</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2023/2022</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2024/2023</w:t>
            </w:r>
          </w:p>
        </w:tc>
        <w:tc>
          <w:tcPr>
            <w:tcW w:w="1134" w:type="dxa"/>
          </w:tcPr>
          <w:p w:rsidR="008B6C17" w:rsidRPr="007F425D" w:rsidRDefault="008B6C17" w:rsidP="007F425D">
            <w:pPr>
              <w:spacing w:line="240" w:lineRule="auto"/>
              <w:rPr>
                <w:rFonts w:ascii="Times New Roman" w:hAnsi="Times New Roman" w:cs="Times New Roman"/>
                <w:sz w:val="20"/>
                <w:szCs w:val="20"/>
              </w:rPr>
            </w:pPr>
            <w:r w:rsidRPr="007F425D">
              <w:rPr>
                <w:rFonts w:ascii="Times New Roman" w:hAnsi="Times New Roman" w:cs="Times New Roman"/>
                <w:sz w:val="20"/>
                <w:szCs w:val="20"/>
              </w:rPr>
              <w:t>2025/2024</w:t>
            </w:r>
          </w:p>
        </w:tc>
      </w:tr>
      <w:tr w:rsidR="008B6C17" w:rsidRPr="007F425D">
        <w:tc>
          <w:tcPr>
            <w:tcW w:w="2376" w:type="dxa"/>
          </w:tcPr>
          <w:p w:rsidR="008B6C17" w:rsidRPr="007F425D" w:rsidRDefault="008B6C17" w:rsidP="007F425D">
            <w:pPr>
              <w:spacing w:line="240" w:lineRule="auto"/>
              <w:rPr>
                <w:rFonts w:ascii="Times New Roman" w:hAnsi="Times New Roman" w:cs="Times New Roman"/>
                <w:sz w:val="24"/>
                <w:szCs w:val="24"/>
              </w:rPr>
            </w:pPr>
            <w:r w:rsidRPr="007F425D">
              <w:rPr>
                <w:rFonts w:ascii="Times New Roman" w:hAnsi="Times New Roman" w:cs="Times New Roman"/>
                <w:sz w:val="24"/>
                <w:szCs w:val="24"/>
              </w:rPr>
              <w:t>Индекс роста цен на платные услуги населению</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1,045</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1,043</w:t>
            </w:r>
          </w:p>
        </w:tc>
      </w:tr>
      <w:tr w:rsidR="008B6C17" w:rsidRPr="007F425D">
        <w:tc>
          <w:tcPr>
            <w:tcW w:w="2376" w:type="dxa"/>
          </w:tcPr>
          <w:p w:rsidR="008B6C17" w:rsidRPr="007F425D" w:rsidRDefault="008B6C17" w:rsidP="007F425D">
            <w:pPr>
              <w:spacing w:line="240" w:lineRule="auto"/>
              <w:rPr>
                <w:rFonts w:ascii="Times New Roman" w:hAnsi="Times New Roman" w:cs="Times New Roman"/>
                <w:sz w:val="24"/>
                <w:szCs w:val="24"/>
              </w:rPr>
            </w:pPr>
            <w:r w:rsidRPr="007F425D">
              <w:rPr>
                <w:rFonts w:ascii="Times New Roman" w:hAnsi="Times New Roman" w:cs="Times New Roman"/>
                <w:sz w:val="24"/>
                <w:szCs w:val="24"/>
              </w:rPr>
              <w:t>Рост тарифов к пред. периоду</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102,17</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105,22</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105,26</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105,26</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105,27</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105,28</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105,28</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104,46</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105,29</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105,30</w:t>
            </w:r>
          </w:p>
        </w:tc>
        <w:tc>
          <w:tcPr>
            <w:tcW w:w="1134" w:type="dxa"/>
            <w:vAlign w:val="center"/>
          </w:tcPr>
          <w:p w:rsidR="008B6C17" w:rsidRPr="007F425D" w:rsidRDefault="008B6C17" w:rsidP="007F425D">
            <w:pPr>
              <w:spacing w:line="240" w:lineRule="auto"/>
              <w:jc w:val="center"/>
              <w:rPr>
                <w:rFonts w:ascii="Times New Roman" w:hAnsi="Times New Roman" w:cs="Times New Roman"/>
                <w:sz w:val="24"/>
                <w:szCs w:val="24"/>
              </w:rPr>
            </w:pPr>
            <w:r w:rsidRPr="007F425D">
              <w:rPr>
                <w:rFonts w:ascii="Times New Roman" w:hAnsi="Times New Roman" w:cs="Times New Roman"/>
                <w:sz w:val="24"/>
                <w:szCs w:val="24"/>
              </w:rPr>
              <w:t>105,31</w:t>
            </w:r>
          </w:p>
        </w:tc>
      </w:tr>
    </w:tbl>
    <w:p w:rsidR="008B6C17" w:rsidRPr="007F425D" w:rsidRDefault="008B6C17" w:rsidP="007F425D">
      <w:pPr>
        <w:spacing w:after="0" w:line="240" w:lineRule="auto"/>
        <w:rPr>
          <w:rFonts w:ascii="Times New Roman" w:hAnsi="Times New Roman" w:cs="Times New Roman"/>
          <w:sz w:val="24"/>
          <w:szCs w:val="24"/>
        </w:rPr>
      </w:pPr>
    </w:p>
    <w:p w:rsidR="008B6C17" w:rsidRPr="007F425D" w:rsidRDefault="008B6C17" w:rsidP="007F425D">
      <w:pPr>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Таблица 9.4. ДОСТУПНОСТЬ КОММУНАЛЬНЫХ УСЛУГ</w:t>
      </w:r>
    </w:p>
    <w:p w:rsidR="008B6C17" w:rsidRPr="007F425D" w:rsidRDefault="008B6C17" w:rsidP="007F425D">
      <w:pPr>
        <w:spacing w:after="0" w:line="240" w:lineRule="auto"/>
        <w:jc w:val="center"/>
        <w:rPr>
          <w:rFonts w:ascii="Times New Roman" w:hAnsi="Times New Roman" w:cs="Times New Roman"/>
          <w:sz w:val="28"/>
          <w:szCs w:val="28"/>
        </w:rPr>
      </w:pPr>
      <w:r w:rsidRPr="007F425D">
        <w:rPr>
          <w:rFonts w:ascii="Times New Roman" w:hAnsi="Times New Roman" w:cs="Times New Roman"/>
          <w:sz w:val="28"/>
          <w:szCs w:val="28"/>
        </w:rPr>
        <w:t>В ТЕЧЕНИЕ ПЕРИОДА РЕАЛИЗАЦИИ ПРОГРАММЫ</w:t>
      </w:r>
    </w:p>
    <w:p w:rsidR="008B6C17" w:rsidRPr="007F425D" w:rsidRDefault="008B6C17" w:rsidP="007F425D">
      <w:pPr>
        <w:spacing w:after="0" w:line="240" w:lineRule="auto"/>
        <w:jc w:val="center"/>
        <w:rPr>
          <w:rFonts w:ascii="Times New Roman" w:hAnsi="Times New Roman" w:cs="Times New Roman"/>
          <w:sz w:val="28"/>
          <w:szCs w:val="28"/>
        </w:rPr>
      </w:pPr>
    </w:p>
    <w:tbl>
      <w:tblPr>
        <w:tblW w:w="14887" w:type="dxa"/>
        <w:tblInd w:w="2" w:type="dxa"/>
        <w:tblLayout w:type="fixed"/>
        <w:tblCellMar>
          <w:top w:w="75" w:type="dxa"/>
          <w:left w:w="0" w:type="dxa"/>
          <w:bottom w:w="75" w:type="dxa"/>
          <w:right w:w="0" w:type="dxa"/>
        </w:tblCellMar>
        <w:tblLook w:val="0000"/>
      </w:tblPr>
      <w:tblGrid>
        <w:gridCol w:w="567"/>
        <w:gridCol w:w="1701"/>
        <w:gridCol w:w="1276"/>
        <w:gridCol w:w="708"/>
        <w:gridCol w:w="709"/>
        <w:gridCol w:w="709"/>
        <w:gridCol w:w="709"/>
        <w:gridCol w:w="709"/>
        <w:gridCol w:w="709"/>
        <w:gridCol w:w="709"/>
        <w:gridCol w:w="709"/>
        <w:gridCol w:w="709"/>
        <w:gridCol w:w="709"/>
        <w:gridCol w:w="709"/>
        <w:gridCol w:w="709"/>
        <w:gridCol w:w="709"/>
        <w:gridCol w:w="709"/>
        <w:gridCol w:w="709"/>
        <w:gridCol w:w="709"/>
      </w:tblGrid>
      <w:tr w:rsidR="008B6C17" w:rsidRPr="007F425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Наименование критерия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Уровень доступности в 2014 году:</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2017</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2018</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2019</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2021</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2023</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2027</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2028</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2029</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2030</w:t>
            </w:r>
          </w:p>
        </w:tc>
      </w:tr>
      <w:tr w:rsidR="008B6C17" w:rsidRPr="007F425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Доля расходов на коммунальные услуги в совокупном доходе семьи, %</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8,6</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7,2 до 8,6</w:t>
            </w:r>
          </w:p>
        </w:tc>
      </w:tr>
      <w:tr w:rsidR="008B6C17" w:rsidRPr="007F425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Доля населения с доходами ниже прожиточного минимума, %</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12,1</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 до 12</w:t>
            </w:r>
          </w:p>
        </w:tc>
      </w:tr>
      <w:tr w:rsidR="008B6C17" w:rsidRPr="007F425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Уровень собираемости платежей за коммунальные услуги, %</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88,5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85  до 92</w:t>
            </w:r>
          </w:p>
        </w:tc>
      </w:tr>
      <w:tr w:rsidR="008B6C17" w:rsidRPr="007F425D">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6C17" w:rsidRPr="007F425D" w:rsidRDefault="008B6C17" w:rsidP="007F425D">
            <w:pPr>
              <w:widowControl w:val="0"/>
              <w:autoSpaceDE w:val="0"/>
              <w:autoSpaceDN w:val="0"/>
              <w:adjustRightInd w:val="0"/>
              <w:spacing w:after="0" w:line="240" w:lineRule="auto"/>
              <w:rPr>
                <w:rFonts w:ascii="Times New Roman" w:hAnsi="Times New Roman" w:cs="Times New Roman"/>
                <w:sz w:val="20"/>
                <w:szCs w:val="20"/>
              </w:rPr>
            </w:pPr>
            <w:r w:rsidRPr="007F425D">
              <w:rPr>
                <w:rFonts w:ascii="Times New Roman" w:hAnsi="Times New Roman" w:cs="Times New Roman"/>
                <w:sz w:val="20"/>
                <w:szCs w:val="20"/>
              </w:rPr>
              <w:t>Доля получателей субсидий на оплату коммунальных услуг в общей численности населения, %</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12,0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c>
          <w:tcPr>
            <w:tcW w:w="709" w:type="dxa"/>
            <w:tcBorders>
              <w:top w:val="single" w:sz="4" w:space="0" w:color="auto"/>
              <w:left w:val="single" w:sz="4" w:space="0" w:color="auto"/>
              <w:bottom w:val="single" w:sz="4" w:space="0" w:color="auto"/>
              <w:right w:val="single" w:sz="4" w:space="0" w:color="auto"/>
            </w:tcBorders>
            <w:vAlign w:val="center"/>
          </w:tcPr>
          <w:p w:rsidR="008B6C17" w:rsidRPr="007F425D" w:rsidRDefault="008B6C17" w:rsidP="007F425D">
            <w:pPr>
              <w:widowControl w:val="0"/>
              <w:autoSpaceDE w:val="0"/>
              <w:autoSpaceDN w:val="0"/>
              <w:adjustRightInd w:val="0"/>
              <w:spacing w:after="0" w:line="240" w:lineRule="auto"/>
              <w:jc w:val="center"/>
              <w:rPr>
                <w:rFonts w:ascii="Times New Roman" w:hAnsi="Times New Roman" w:cs="Times New Roman"/>
                <w:sz w:val="20"/>
                <w:szCs w:val="20"/>
              </w:rPr>
            </w:pPr>
            <w:r w:rsidRPr="007F425D">
              <w:rPr>
                <w:rFonts w:ascii="Times New Roman" w:hAnsi="Times New Roman" w:cs="Times New Roman"/>
                <w:sz w:val="20"/>
                <w:szCs w:val="20"/>
              </w:rPr>
              <w:t>от 10  до 15</w:t>
            </w:r>
          </w:p>
        </w:tc>
      </w:tr>
    </w:tbl>
    <w:p w:rsidR="008B6C17" w:rsidRPr="007F425D" w:rsidRDefault="008B6C17" w:rsidP="007F425D">
      <w:pPr>
        <w:spacing w:after="0" w:line="240" w:lineRule="auto"/>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29" w:name="Par21401"/>
      <w:bookmarkEnd w:id="29"/>
      <w:r w:rsidRPr="007F425D">
        <w:rPr>
          <w:rFonts w:ascii="Times New Roman" w:hAnsi="Times New Roman" w:cs="Times New Roman"/>
          <w:sz w:val="28"/>
          <w:szCs w:val="28"/>
        </w:rPr>
        <w:t>10. МОДЕЛЬ ДЛЯ РАСЧЕТА ПРОГРАММЫ</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8"/>
          <w:szCs w:val="28"/>
        </w:rPr>
      </w:pP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Моделью расчетов по Программе «Комплексное развитие систем коммунальной инфраструктуры Волчанского городского округа до 2030 года» были предусмотрены расчеты сроков окупаемости мероприятий программы, распределении затрат и возникающих экономических эффектов по годам. Для обеспечения сопоставимости вариантов все цены были приняты на уровне 2014 года.</w:t>
      </w:r>
    </w:p>
    <w:p w:rsidR="008B6C17" w:rsidRPr="007F425D" w:rsidRDefault="008B6C17" w:rsidP="007F425D">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F425D">
        <w:rPr>
          <w:rFonts w:ascii="Times New Roman" w:hAnsi="Times New Roman" w:cs="Times New Roman"/>
          <w:sz w:val="28"/>
          <w:szCs w:val="28"/>
        </w:rPr>
        <w:t>Эффект от каждого мероприятия был учтен отдельно, при реализации мероприятий в совокупности возможен больший экономический эффект за счет «наложения» эффекта от одного мероприятия на эффект от другого. Также в модели был учтен временной лаг от времени реализации мероприятия до времени начала поступления экономического эффекта.</w:t>
      </w: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widowControl w:val="0"/>
        <w:pBdr>
          <w:bottom w:val="single" w:sz="6" w:space="0" w:color="auto"/>
        </w:pBdr>
        <w:autoSpaceDE w:val="0"/>
        <w:autoSpaceDN w:val="0"/>
        <w:adjustRightInd w:val="0"/>
        <w:spacing w:after="0" w:line="240" w:lineRule="auto"/>
        <w:jc w:val="both"/>
        <w:rPr>
          <w:rFonts w:ascii="Times New Roman" w:hAnsi="Times New Roman" w:cs="Times New Roman"/>
          <w:sz w:val="24"/>
          <w:szCs w:val="24"/>
        </w:rPr>
      </w:pPr>
    </w:p>
    <w:p w:rsidR="008B6C17" w:rsidRPr="007F425D" w:rsidRDefault="008B6C17" w:rsidP="007F425D">
      <w:pPr>
        <w:spacing w:line="240" w:lineRule="auto"/>
        <w:jc w:val="both"/>
        <w:rPr>
          <w:rFonts w:ascii="Times New Roman" w:hAnsi="Times New Roman" w:cs="Times New Roman"/>
          <w:sz w:val="24"/>
          <w:szCs w:val="24"/>
        </w:rPr>
      </w:pPr>
    </w:p>
    <w:p w:rsidR="008B6C17" w:rsidRPr="007F425D" w:rsidRDefault="008B6C17" w:rsidP="007F425D">
      <w:pPr>
        <w:spacing w:after="0" w:line="240" w:lineRule="auto"/>
        <w:ind w:firstLine="709"/>
        <w:jc w:val="center"/>
        <w:rPr>
          <w:rFonts w:ascii="Times New Roman" w:hAnsi="Times New Roman" w:cs="Times New Roman"/>
          <w:caps/>
          <w:sz w:val="28"/>
          <w:szCs w:val="28"/>
        </w:rPr>
      </w:pPr>
    </w:p>
    <w:sectPr w:rsidR="008B6C17" w:rsidRPr="007F425D" w:rsidSect="00EC260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C56642A"/>
    <w:lvl w:ilvl="0">
      <w:numFmt w:val="bullet"/>
      <w:lvlText w:val="*"/>
      <w:lvlJc w:val="left"/>
    </w:lvl>
  </w:abstractNum>
  <w:abstractNum w:abstractNumId="1">
    <w:nsid w:val="0A8D01D7"/>
    <w:multiLevelType w:val="singleLevel"/>
    <w:tmpl w:val="4E3E1396"/>
    <w:lvl w:ilvl="0">
      <w:start w:val="1"/>
      <w:numFmt w:val="decimal"/>
      <w:lvlText w:val="%1."/>
      <w:legacy w:legacy="1" w:legacySpace="0" w:legacyIndent="353"/>
      <w:lvlJc w:val="left"/>
      <w:rPr>
        <w:rFonts w:ascii="Times New Roman" w:hAnsi="Times New Roman" w:cs="Times New Roman" w:hint="default"/>
        <w:b w:val="0"/>
        <w:bCs w:val="0"/>
      </w:rPr>
    </w:lvl>
  </w:abstractNum>
  <w:abstractNum w:abstractNumId="2">
    <w:nsid w:val="151C02DB"/>
    <w:multiLevelType w:val="hybridMultilevel"/>
    <w:tmpl w:val="F9D29F48"/>
    <w:lvl w:ilvl="0" w:tplc="801C31D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17DB6C30"/>
    <w:multiLevelType w:val="hybridMultilevel"/>
    <w:tmpl w:val="33E40E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077638"/>
    <w:multiLevelType w:val="multilevel"/>
    <w:tmpl w:val="10E0A7B0"/>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B6E1084"/>
    <w:multiLevelType w:val="hybridMultilevel"/>
    <w:tmpl w:val="995263CA"/>
    <w:lvl w:ilvl="0" w:tplc="CA9691D0">
      <w:start w:val="1"/>
      <w:numFmt w:val="bullet"/>
      <w:lvlText w:val="-"/>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
    <w:nsid w:val="1F7F70AC"/>
    <w:multiLevelType w:val="hybridMultilevel"/>
    <w:tmpl w:val="4614E41A"/>
    <w:lvl w:ilvl="0" w:tplc="2500FEB0">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
    <w:nsid w:val="203D0D52"/>
    <w:multiLevelType w:val="hybridMultilevel"/>
    <w:tmpl w:val="9B1C2A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0673493"/>
    <w:multiLevelType w:val="hybridMultilevel"/>
    <w:tmpl w:val="A1A4B61A"/>
    <w:lvl w:ilvl="0" w:tplc="04190001">
      <w:start w:val="1"/>
      <w:numFmt w:val="bullet"/>
      <w:lvlText w:val=""/>
      <w:lvlJc w:val="left"/>
      <w:pPr>
        <w:tabs>
          <w:tab w:val="num" w:pos="1468"/>
        </w:tabs>
        <w:ind w:left="1468" w:hanging="360"/>
      </w:pPr>
      <w:rPr>
        <w:rFonts w:ascii="Symbol" w:hAnsi="Symbol" w:cs="Symbol" w:hint="default"/>
      </w:rPr>
    </w:lvl>
    <w:lvl w:ilvl="1" w:tplc="04190003">
      <w:start w:val="1"/>
      <w:numFmt w:val="bullet"/>
      <w:lvlText w:val="o"/>
      <w:lvlJc w:val="left"/>
      <w:pPr>
        <w:ind w:left="2188" w:hanging="360"/>
      </w:pPr>
      <w:rPr>
        <w:rFonts w:ascii="Courier New" w:hAnsi="Courier New" w:cs="Courier New" w:hint="default"/>
      </w:rPr>
    </w:lvl>
    <w:lvl w:ilvl="2" w:tplc="04190005">
      <w:start w:val="1"/>
      <w:numFmt w:val="bullet"/>
      <w:lvlText w:val=""/>
      <w:lvlJc w:val="left"/>
      <w:pPr>
        <w:ind w:left="2908" w:hanging="360"/>
      </w:pPr>
      <w:rPr>
        <w:rFonts w:ascii="Wingdings" w:hAnsi="Wingdings" w:cs="Wingdings" w:hint="default"/>
      </w:rPr>
    </w:lvl>
    <w:lvl w:ilvl="3" w:tplc="04190001">
      <w:start w:val="1"/>
      <w:numFmt w:val="bullet"/>
      <w:lvlText w:val=""/>
      <w:lvlJc w:val="left"/>
      <w:pPr>
        <w:ind w:left="3628" w:hanging="360"/>
      </w:pPr>
      <w:rPr>
        <w:rFonts w:ascii="Symbol" w:hAnsi="Symbol" w:cs="Symbol" w:hint="default"/>
      </w:rPr>
    </w:lvl>
    <w:lvl w:ilvl="4" w:tplc="04190003">
      <w:start w:val="1"/>
      <w:numFmt w:val="bullet"/>
      <w:lvlText w:val="o"/>
      <w:lvlJc w:val="left"/>
      <w:pPr>
        <w:ind w:left="4348" w:hanging="360"/>
      </w:pPr>
      <w:rPr>
        <w:rFonts w:ascii="Courier New" w:hAnsi="Courier New" w:cs="Courier New" w:hint="default"/>
      </w:rPr>
    </w:lvl>
    <w:lvl w:ilvl="5" w:tplc="04190005">
      <w:start w:val="1"/>
      <w:numFmt w:val="bullet"/>
      <w:lvlText w:val=""/>
      <w:lvlJc w:val="left"/>
      <w:pPr>
        <w:ind w:left="5068" w:hanging="360"/>
      </w:pPr>
      <w:rPr>
        <w:rFonts w:ascii="Wingdings" w:hAnsi="Wingdings" w:cs="Wingdings" w:hint="default"/>
      </w:rPr>
    </w:lvl>
    <w:lvl w:ilvl="6" w:tplc="04190001">
      <w:start w:val="1"/>
      <w:numFmt w:val="bullet"/>
      <w:lvlText w:val=""/>
      <w:lvlJc w:val="left"/>
      <w:pPr>
        <w:ind w:left="5788" w:hanging="360"/>
      </w:pPr>
      <w:rPr>
        <w:rFonts w:ascii="Symbol" w:hAnsi="Symbol" w:cs="Symbol" w:hint="default"/>
      </w:rPr>
    </w:lvl>
    <w:lvl w:ilvl="7" w:tplc="04190003">
      <w:start w:val="1"/>
      <w:numFmt w:val="bullet"/>
      <w:lvlText w:val="o"/>
      <w:lvlJc w:val="left"/>
      <w:pPr>
        <w:ind w:left="6508" w:hanging="360"/>
      </w:pPr>
      <w:rPr>
        <w:rFonts w:ascii="Courier New" w:hAnsi="Courier New" w:cs="Courier New" w:hint="default"/>
      </w:rPr>
    </w:lvl>
    <w:lvl w:ilvl="8" w:tplc="04190005">
      <w:start w:val="1"/>
      <w:numFmt w:val="bullet"/>
      <w:lvlText w:val=""/>
      <w:lvlJc w:val="left"/>
      <w:pPr>
        <w:ind w:left="7228" w:hanging="360"/>
      </w:pPr>
      <w:rPr>
        <w:rFonts w:ascii="Wingdings" w:hAnsi="Wingdings" w:cs="Wingdings" w:hint="default"/>
      </w:rPr>
    </w:lvl>
  </w:abstractNum>
  <w:abstractNum w:abstractNumId="9">
    <w:nsid w:val="214506BC"/>
    <w:multiLevelType w:val="hybridMultilevel"/>
    <w:tmpl w:val="A53A422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24660361"/>
    <w:multiLevelType w:val="hybridMultilevel"/>
    <w:tmpl w:val="16121F40"/>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1">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12">
    <w:nsid w:val="2764639F"/>
    <w:multiLevelType w:val="singleLevel"/>
    <w:tmpl w:val="3DA0A258"/>
    <w:lvl w:ilvl="0">
      <w:start w:val="1"/>
      <w:numFmt w:val="decimal"/>
      <w:lvlText w:val="%1)"/>
      <w:legacy w:legacy="1" w:legacySpace="0" w:legacyIndent="252"/>
      <w:lvlJc w:val="left"/>
      <w:rPr>
        <w:rFonts w:ascii="Times New Roman" w:hAnsi="Times New Roman" w:cs="Times New Roman" w:hint="default"/>
      </w:rPr>
    </w:lvl>
  </w:abstractNum>
  <w:abstractNum w:abstractNumId="13">
    <w:nsid w:val="27923851"/>
    <w:multiLevelType w:val="hybridMultilevel"/>
    <w:tmpl w:val="78281BC8"/>
    <w:lvl w:ilvl="0" w:tplc="041CFBA6">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E0B1BDC"/>
    <w:multiLevelType w:val="hybridMultilevel"/>
    <w:tmpl w:val="4F6E940A"/>
    <w:lvl w:ilvl="0" w:tplc="1E1EAF96">
      <w:start w:val="2"/>
      <w:numFmt w:val="bullet"/>
      <w:lvlText w:val="–"/>
      <w:lvlJc w:val="left"/>
      <w:pPr>
        <w:tabs>
          <w:tab w:val="num" w:pos="1800"/>
        </w:tabs>
        <w:ind w:left="1800" w:hanging="360"/>
      </w:pPr>
      <w:rPr>
        <w:rFonts w:ascii="Times New Roman" w:hAnsi="Times New Roman" w:cs="Times New Roman" w:hint="default"/>
      </w:rPr>
    </w:lvl>
    <w:lvl w:ilvl="1" w:tplc="3A621E60">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EBBC18BC">
      <w:start w:val="49"/>
      <w:numFmt w:val="bullet"/>
      <w:lvlText w:val="-"/>
      <w:lvlJc w:val="left"/>
      <w:pPr>
        <w:ind w:left="3945" w:hanging="1425"/>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E57719F"/>
    <w:multiLevelType w:val="hybridMultilevel"/>
    <w:tmpl w:val="D1F2C23E"/>
    <w:lvl w:ilvl="0" w:tplc="797035B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30CF2C50"/>
    <w:multiLevelType w:val="singleLevel"/>
    <w:tmpl w:val="5A4C6D2A"/>
    <w:lvl w:ilvl="0">
      <w:start w:val="6"/>
      <w:numFmt w:val="decimal"/>
      <w:lvlText w:val="%1."/>
      <w:legacy w:legacy="1" w:legacySpace="0" w:legacyIndent="353"/>
      <w:lvlJc w:val="left"/>
      <w:rPr>
        <w:rFonts w:ascii="Times New Roman" w:hAnsi="Times New Roman" w:cs="Times New Roman" w:hint="default"/>
      </w:rPr>
    </w:lvl>
  </w:abstractNum>
  <w:abstractNum w:abstractNumId="17">
    <w:nsid w:val="3389470A"/>
    <w:multiLevelType w:val="hybridMultilevel"/>
    <w:tmpl w:val="FF703106"/>
    <w:lvl w:ilvl="0" w:tplc="8D2A0506">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8">
    <w:nsid w:val="33FE4FD8"/>
    <w:multiLevelType w:val="hybridMultilevel"/>
    <w:tmpl w:val="51AA57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6A77101"/>
    <w:multiLevelType w:val="singleLevel"/>
    <w:tmpl w:val="068EC6A6"/>
    <w:lvl w:ilvl="0">
      <w:start w:val="10"/>
      <w:numFmt w:val="decimal"/>
      <w:lvlText w:val="%1."/>
      <w:legacy w:legacy="1" w:legacySpace="0" w:legacyIndent="353"/>
      <w:lvlJc w:val="left"/>
      <w:rPr>
        <w:rFonts w:ascii="Times New Roman" w:hAnsi="Times New Roman" w:cs="Times New Roman" w:hint="default"/>
      </w:rPr>
    </w:lvl>
  </w:abstractNum>
  <w:abstractNum w:abstractNumId="20">
    <w:nsid w:val="38D3446F"/>
    <w:multiLevelType w:val="hybridMultilevel"/>
    <w:tmpl w:val="FE385B32"/>
    <w:lvl w:ilvl="0" w:tplc="A13618AC">
      <w:start w:val="1"/>
      <w:numFmt w:val="decimal"/>
      <w:lvlText w:val="%1."/>
      <w:lvlJc w:val="left"/>
      <w:pPr>
        <w:ind w:left="1155" w:hanging="79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B707061"/>
    <w:multiLevelType w:val="hybridMultilevel"/>
    <w:tmpl w:val="B1E2B28A"/>
    <w:lvl w:ilvl="0" w:tplc="95CC297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2">
    <w:nsid w:val="41230B90"/>
    <w:multiLevelType w:val="hybridMultilevel"/>
    <w:tmpl w:val="6862FC72"/>
    <w:lvl w:ilvl="0" w:tplc="CA9691D0">
      <w:start w:val="1"/>
      <w:numFmt w:val="bullet"/>
      <w:lvlText w:val="-"/>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3">
    <w:nsid w:val="44A1137B"/>
    <w:multiLevelType w:val="multilevel"/>
    <w:tmpl w:val="407435E0"/>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numFmt w:val="bullet"/>
      <w:lvlText w:val=""/>
      <w:lvlJc w:val="left"/>
      <w:pPr>
        <w:tabs>
          <w:tab w:val="num" w:pos="2340"/>
        </w:tabs>
        <w:ind w:left="2340" w:hanging="360"/>
      </w:pPr>
      <w:rPr>
        <w:rFonts w:ascii="Symbol" w:eastAsia="Times New Roman"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66E375C"/>
    <w:multiLevelType w:val="hybridMultilevel"/>
    <w:tmpl w:val="3364DBB6"/>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7F07E19"/>
    <w:multiLevelType w:val="hybridMultilevel"/>
    <w:tmpl w:val="20FEF6D0"/>
    <w:lvl w:ilvl="0" w:tplc="5DF84B74">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6">
    <w:nsid w:val="48C040E7"/>
    <w:multiLevelType w:val="singleLevel"/>
    <w:tmpl w:val="5C7A34F2"/>
    <w:lvl w:ilvl="0">
      <w:start w:val="1"/>
      <w:numFmt w:val="decimal"/>
      <w:lvlText w:val="%1."/>
      <w:legacy w:legacy="1" w:legacySpace="0" w:legacyIndent="720"/>
      <w:lvlJc w:val="left"/>
      <w:rPr>
        <w:rFonts w:ascii="Times New Roman" w:hAnsi="Times New Roman" w:cs="Times New Roman" w:hint="default"/>
      </w:rPr>
    </w:lvl>
  </w:abstractNum>
  <w:abstractNum w:abstractNumId="27">
    <w:nsid w:val="56A36398"/>
    <w:multiLevelType w:val="hybridMultilevel"/>
    <w:tmpl w:val="DB060E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76C1EA2"/>
    <w:multiLevelType w:val="hybridMultilevel"/>
    <w:tmpl w:val="CFF45FF6"/>
    <w:lvl w:ilvl="0" w:tplc="CA9691D0">
      <w:start w:val="1"/>
      <w:numFmt w:val="bullet"/>
      <w:lvlText w:val="-"/>
      <w:lvlJc w:val="left"/>
      <w:pPr>
        <w:ind w:left="1620" w:hanging="360"/>
      </w:pPr>
      <w:rPr>
        <w:rFonts w:ascii="Courier New" w:hAnsi="Courier New" w:cs="Courier New"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29">
    <w:nsid w:val="57D71923"/>
    <w:multiLevelType w:val="hybridMultilevel"/>
    <w:tmpl w:val="97BA4030"/>
    <w:lvl w:ilvl="0" w:tplc="C784A61E">
      <w:start w:val="1"/>
      <w:numFmt w:val="bullet"/>
      <w:lvlText w:val=""/>
      <w:lvlJc w:val="left"/>
      <w:pPr>
        <w:ind w:left="1778" w:hanging="360"/>
      </w:pPr>
      <w:rPr>
        <w:rFonts w:ascii="Symbol" w:hAnsi="Symbol" w:cs="Symbol" w:hint="default"/>
        <w:color w:val="auto"/>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30">
    <w:nsid w:val="588D5470"/>
    <w:multiLevelType w:val="hybridMultilevel"/>
    <w:tmpl w:val="4C523F1A"/>
    <w:lvl w:ilvl="0" w:tplc="8F1E0C3A">
      <w:start w:val="1"/>
      <w:numFmt w:val="bullet"/>
      <w:lvlText w:val="−"/>
      <w:lvlJc w:val="left"/>
      <w:pPr>
        <w:tabs>
          <w:tab w:val="num" w:pos="1842"/>
        </w:tabs>
        <w:ind w:left="708" w:firstLine="709"/>
      </w:pPr>
      <w:rPr>
        <w:rFonts w:ascii="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1">
    <w:nsid w:val="68137337"/>
    <w:multiLevelType w:val="hybridMultilevel"/>
    <w:tmpl w:val="40FA3E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0A705F5"/>
    <w:multiLevelType w:val="hybridMultilevel"/>
    <w:tmpl w:val="B22CEEAE"/>
    <w:lvl w:ilvl="0" w:tplc="1F741BC6">
      <w:start w:val="1"/>
      <w:numFmt w:val="bullet"/>
      <w:lvlText w:val=""/>
      <w:lvlJc w:val="left"/>
      <w:pPr>
        <w:ind w:left="1428" w:hanging="360"/>
      </w:pPr>
      <w:rPr>
        <w:rFonts w:ascii="Symbol" w:hAnsi="Symbol" w:cs="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3">
    <w:nsid w:val="786E677D"/>
    <w:multiLevelType w:val="hybridMultilevel"/>
    <w:tmpl w:val="8CBA3BA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9283DDE"/>
    <w:multiLevelType w:val="hybridMultilevel"/>
    <w:tmpl w:val="40F44D66"/>
    <w:lvl w:ilvl="0" w:tplc="04190001">
      <w:start w:val="1"/>
      <w:numFmt w:val="bullet"/>
      <w:lvlText w:val=""/>
      <w:lvlJc w:val="left"/>
      <w:pPr>
        <w:ind w:left="1373" w:hanging="360"/>
      </w:pPr>
      <w:rPr>
        <w:rFonts w:ascii="Symbol" w:hAnsi="Symbol" w:cs="Symbol" w:hint="default"/>
      </w:rPr>
    </w:lvl>
    <w:lvl w:ilvl="1" w:tplc="04190003">
      <w:start w:val="1"/>
      <w:numFmt w:val="bullet"/>
      <w:lvlText w:val="o"/>
      <w:lvlJc w:val="left"/>
      <w:pPr>
        <w:ind w:left="2093" w:hanging="360"/>
      </w:pPr>
      <w:rPr>
        <w:rFonts w:ascii="Courier New" w:hAnsi="Courier New" w:cs="Courier New" w:hint="default"/>
      </w:rPr>
    </w:lvl>
    <w:lvl w:ilvl="2" w:tplc="04190005">
      <w:start w:val="1"/>
      <w:numFmt w:val="bullet"/>
      <w:lvlText w:val=""/>
      <w:lvlJc w:val="left"/>
      <w:pPr>
        <w:ind w:left="2813" w:hanging="360"/>
      </w:pPr>
      <w:rPr>
        <w:rFonts w:ascii="Wingdings" w:hAnsi="Wingdings" w:cs="Wingdings" w:hint="default"/>
      </w:rPr>
    </w:lvl>
    <w:lvl w:ilvl="3" w:tplc="04190001">
      <w:start w:val="1"/>
      <w:numFmt w:val="bullet"/>
      <w:lvlText w:val=""/>
      <w:lvlJc w:val="left"/>
      <w:pPr>
        <w:ind w:left="3533" w:hanging="360"/>
      </w:pPr>
      <w:rPr>
        <w:rFonts w:ascii="Symbol" w:hAnsi="Symbol" w:cs="Symbol" w:hint="default"/>
      </w:rPr>
    </w:lvl>
    <w:lvl w:ilvl="4" w:tplc="04190003">
      <w:start w:val="1"/>
      <w:numFmt w:val="bullet"/>
      <w:lvlText w:val="o"/>
      <w:lvlJc w:val="left"/>
      <w:pPr>
        <w:ind w:left="4253" w:hanging="360"/>
      </w:pPr>
      <w:rPr>
        <w:rFonts w:ascii="Courier New" w:hAnsi="Courier New" w:cs="Courier New" w:hint="default"/>
      </w:rPr>
    </w:lvl>
    <w:lvl w:ilvl="5" w:tplc="04190005">
      <w:start w:val="1"/>
      <w:numFmt w:val="bullet"/>
      <w:lvlText w:val=""/>
      <w:lvlJc w:val="left"/>
      <w:pPr>
        <w:ind w:left="4973" w:hanging="360"/>
      </w:pPr>
      <w:rPr>
        <w:rFonts w:ascii="Wingdings" w:hAnsi="Wingdings" w:cs="Wingdings" w:hint="default"/>
      </w:rPr>
    </w:lvl>
    <w:lvl w:ilvl="6" w:tplc="04190001">
      <w:start w:val="1"/>
      <w:numFmt w:val="bullet"/>
      <w:lvlText w:val=""/>
      <w:lvlJc w:val="left"/>
      <w:pPr>
        <w:ind w:left="5693" w:hanging="360"/>
      </w:pPr>
      <w:rPr>
        <w:rFonts w:ascii="Symbol" w:hAnsi="Symbol" w:cs="Symbol" w:hint="default"/>
      </w:rPr>
    </w:lvl>
    <w:lvl w:ilvl="7" w:tplc="04190003">
      <w:start w:val="1"/>
      <w:numFmt w:val="bullet"/>
      <w:lvlText w:val="o"/>
      <w:lvlJc w:val="left"/>
      <w:pPr>
        <w:ind w:left="6413" w:hanging="360"/>
      </w:pPr>
      <w:rPr>
        <w:rFonts w:ascii="Courier New" w:hAnsi="Courier New" w:cs="Courier New" w:hint="default"/>
      </w:rPr>
    </w:lvl>
    <w:lvl w:ilvl="8" w:tplc="04190005">
      <w:start w:val="1"/>
      <w:numFmt w:val="bullet"/>
      <w:lvlText w:val=""/>
      <w:lvlJc w:val="left"/>
      <w:pPr>
        <w:ind w:left="7133" w:hanging="360"/>
      </w:pPr>
      <w:rPr>
        <w:rFonts w:ascii="Wingdings" w:hAnsi="Wingdings" w:cs="Wingdings" w:hint="default"/>
      </w:rPr>
    </w:lvl>
  </w:abstractNum>
  <w:num w:numId="1">
    <w:abstractNumId w:val="20"/>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7"/>
  </w:num>
  <w:num w:numId="5">
    <w:abstractNumId w:val="31"/>
  </w:num>
  <w:num w:numId="6">
    <w:abstractNumId w:val="3"/>
  </w:num>
  <w:num w:numId="7">
    <w:abstractNumId w:val="7"/>
  </w:num>
  <w:num w:numId="8">
    <w:abstractNumId w:val="1"/>
    <w:lvlOverride w:ilvl="0">
      <w:startOverride w:val="1"/>
    </w:lvlOverride>
  </w:num>
  <w:num w:numId="9">
    <w:abstractNumId w:val="16"/>
    <w:lvlOverride w:ilvl="0">
      <w:startOverride w:val="6"/>
    </w:lvlOverride>
  </w:num>
  <w:num w:numId="10">
    <w:abstractNumId w:val="19"/>
    <w:lvlOverride w:ilvl="0">
      <w:startOverride w:val="10"/>
    </w:lvlOverride>
  </w:num>
  <w:num w:numId="11">
    <w:abstractNumId w:val="0"/>
    <w:lvlOverride w:ilvl="0">
      <w:lvl w:ilvl="0">
        <w:numFmt w:val="bullet"/>
        <w:lvlText w:val="-"/>
        <w:legacy w:legacy="1" w:legacySpace="0" w:legacyIndent="144"/>
        <w:lvlJc w:val="left"/>
        <w:rPr>
          <w:rFonts w:ascii="Times New Roman" w:hAnsi="Times New Roman" w:cs="Times New Roman" w:hint="default"/>
        </w:rPr>
      </w:lvl>
    </w:lvlOverride>
  </w:num>
  <w:num w:numId="12">
    <w:abstractNumId w:val="0"/>
    <w:lvlOverride w:ilvl="0">
      <w:lvl w:ilvl="0">
        <w:numFmt w:val="bullet"/>
        <w:lvlText w:val="-"/>
        <w:legacy w:legacy="1" w:legacySpace="0" w:legacyIndent="209"/>
        <w:lvlJc w:val="left"/>
        <w:rPr>
          <w:rFonts w:ascii="Times New Roman" w:hAnsi="Times New Roman" w:cs="Times New Roman" w:hint="default"/>
        </w:rPr>
      </w:lvl>
    </w:lvlOverride>
  </w:num>
  <w:num w:numId="13">
    <w:abstractNumId w:val="12"/>
    <w:lvlOverride w:ilvl="0">
      <w:startOverride w:val="1"/>
    </w:lvlOverride>
  </w:num>
  <w:num w:numId="14">
    <w:abstractNumId w:val="0"/>
    <w:lvlOverride w:ilvl="0">
      <w:lvl w:ilvl="0">
        <w:numFmt w:val="bullet"/>
        <w:lvlText w:val="-"/>
        <w:legacy w:legacy="1" w:legacySpace="0" w:legacyIndent="360"/>
        <w:lvlJc w:val="left"/>
        <w:rPr>
          <w:rFonts w:ascii="Times New Roman" w:hAnsi="Times New Roman" w:cs="Times New Roman" w:hint="default"/>
        </w:rPr>
      </w:lvl>
    </w:lvlOverride>
  </w:num>
  <w:num w:numId="15">
    <w:abstractNumId w:val="0"/>
    <w:lvlOverride w:ilvl="0">
      <w:lvl w:ilvl="0">
        <w:numFmt w:val="bullet"/>
        <w:lvlText w:val="-"/>
        <w:legacy w:legacy="1" w:legacySpace="0" w:legacyIndent="352"/>
        <w:lvlJc w:val="left"/>
        <w:rPr>
          <w:rFonts w:ascii="Times New Roman" w:hAnsi="Times New Roman" w:cs="Times New Roman" w:hint="default"/>
        </w:rPr>
      </w:lvl>
    </w:lvlOverride>
  </w:num>
  <w:num w:numId="16">
    <w:abstractNumId w:val="0"/>
    <w:lvlOverride w:ilvl="0">
      <w:lvl w:ilvl="0">
        <w:numFmt w:val="bullet"/>
        <w:lvlText w:val="-"/>
        <w:legacy w:legacy="1" w:legacySpace="0" w:legacyIndent="353"/>
        <w:lvlJc w:val="left"/>
        <w:rPr>
          <w:rFonts w:ascii="Times New Roman" w:hAnsi="Times New Roman" w:cs="Times New Roman" w:hint="default"/>
        </w:rPr>
      </w:lvl>
    </w:lvlOverride>
  </w:num>
  <w:num w:numId="17">
    <w:abstractNumId w:val="26"/>
    <w:lvlOverride w:ilvl="0">
      <w:startOverride w:val="1"/>
    </w:lvlOverride>
  </w:num>
  <w:num w:numId="18">
    <w:abstractNumId w:val="9"/>
  </w:num>
  <w:num w:numId="19">
    <w:abstractNumId w:val="25"/>
  </w:num>
  <w:num w:numId="20">
    <w:abstractNumId w:val="34"/>
  </w:num>
  <w:num w:numId="21">
    <w:abstractNumId w:val="29"/>
  </w:num>
  <w:num w:numId="22">
    <w:abstractNumId w:val="2"/>
  </w:num>
  <w:num w:numId="23">
    <w:abstractNumId w:val="23"/>
  </w:num>
  <w:num w:numId="24">
    <w:abstractNumId w:val="32"/>
  </w:num>
  <w:num w:numId="25">
    <w:abstractNumId w:val="15"/>
  </w:num>
  <w:num w:numId="26">
    <w:abstractNumId w:val="14"/>
  </w:num>
  <w:num w:numId="27">
    <w:abstractNumId w:val="8"/>
  </w:num>
  <w:num w:numId="28">
    <w:abstractNumId w:val="10"/>
  </w:num>
  <w:num w:numId="29">
    <w:abstractNumId w:val="33"/>
  </w:num>
  <w:num w:numId="30">
    <w:abstractNumId w:val="24"/>
  </w:num>
  <w:num w:numId="31">
    <w:abstractNumId w:val="30"/>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6"/>
  </w:num>
  <w:num w:numId="39">
    <w:abstractNumId w:val="21"/>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690C"/>
    <w:rsid w:val="0000085E"/>
    <w:rsid w:val="00001CD4"/>
    <w:rsid w:val="00004D03"/>
    <w:rsid w:val="000055D8"/>
    <w:rsid w:val="00011085"/>
    <w:rsid w:val="00020173"/>
    <w:rsid w:val="00021A17"/>
    <w:rsid w:val="00021DD3"/>
    <w:rsid w:val="00022953"/>
    <w:rsid w:val="00023682"/>
    <w:rsid w:val="00024E78"/>
    <w:rsid w:val="00030283"/>
    <w:rsid w:val="00036A30"/>
    <w:rsid w:val="00036D24"/>
    <w:rsid w:val="00042993"/>
    <w:rsid w:val="000562B0"/>
    <w:rsid w:val="00061F2B"/>
    <w:rsid w:val="000770D7"/>
    <w:rsid w:val="0008075B"/>
    <w:rsid w:val="000879A7"/>
    <w:rsid w:val="000A6292"/>
    <w:rsid w:val="000B1235"/>
    <w:rsid w:val="000B1CD7"/>
    <w:rsid w:val="000B2AFC"/>
    <w:rsid w:val="000C16D5"/>
    <w:rsid w:val="000D718A"/>
    <w:rsid w:val="000E51ED"/>
    <w:rsid w:val="000E5F43"/>
    <w:rsid w:val="000F09B1"/>
    <w:rsid w:val="000F125F"/>
    <w:rsid w:val="000F5FF9"/>
    <w:rsid w:val="00107574"/>
    <w:rsid w:val="00111CC3"/>
    <w:rsid w:val="0011394F"/>
    <w:rsid w:val="0012015D"/>
    <w:rsid w:val="00121316"/>
    <w:rsid w:val="00137A00"/>
    <w:rsid w:val="00140862"/>
    <w:rsid w:val="001432AF"/>
    <w:rsid w:val="00154163"/>
    <w:rsid w:val="00155535"/>
    <w:rsid w:val="0016042C"/>
    <w:rsid w:val="0016570A"/>
    <w:rsid w:val="00171045"/>
    <w:rsid w:val="0017366E"/>
    <w:rsid w:val="001778EC"/>
    <w:rsid w:val="001870D1"/>
    <w:rsid w:val="0019435C"/>
    <w:rsid w:val="00194AF7"/>
    <w:rsid w:val="00197625"/>
    <w:rsid w:val="001A2891"/>
    <w:rsid w:val="001B3541"/>
    <w:rsid w:val="001C214A"/>
    <w:rsid w:val="001C287A"/>
    <w:rsid w:val="001D5596"/>
    <w:rsid w:val="001E04C9"/>
    <w:rsid w:val="001E2FD9"/>
    <w:rsid w:val="001E435D"/>
    <w:rsid w:val="001E61F7"/>
    <w:rsid w:val="001E6500"/>
    <w:rsid w:val="001F3074"/>
    <w:rsid w:val="00204402"/>
    <w:rsid w:val="00206511"/>
    <w:rsid w:val="002155DE"/>
    <w:rsid w:val="00223FC1"/>
    <w:rsid w:val="0022543D"/>
    <w:rsid w:val="0022578C"/>
    <w:rsid w:val="0023164B"/>
    <w:rsid w:val="00231C35"/>
    <w:rsid w:val="00231F5F"/>
    <w:rsid w:val="00241C17"/>
    <w:rsid w:val="00252098"/>
    <w:rsid w:val="00252F1F"/>
    <w:rsid w:val="00253233"/>
    <w:rsid w:val="00255B49"/>
    <w:rsid w:val="002624F5"/>
    <w:rsid w:val="00264FA3"/>
    <w:rsid w:val="0027241E"/>
    <w:rsid w:val="002776A3"/>
    <w:rsid w:val="00277EF3"/>
    <w:rsid w:val="00281A0B"/>
    <w:rsid w:val="002824C3"/>
    <w:rsid w:val="002838E3"/>
    <w:rsid w:val="00284D29"/>
    <w:rsid w:val="00297FE3"/>
    <w:rsid w:val="002A21A7"/>
    <w:rsid w:val="002A2AE3"/>
    <w:rsid w:val="002B1BE3"/>
    <w:rsid w:val="002C3948"/>
    <w:rsid w:val="002D45B7"/>
    <w:rsid w:val="002D4C91"/>
    <w:rsid w:val="002D53A7"/>
    <w:rsid w:val="002E75AE"/>
    <w:rsid w:val="002F1BE4"/>
    <w:rsid w:val="002F25EA"/>
    <w:rsid w:val="002F581B"/>
    <w:rsid w:val="00302268"/>
    <w:rsid w:val="0030489D"/>
    <w:rsid w:val="003107FD"/>
    <w:rsid w:val="00324897"/>
    <w:rsid w:val="0032507A"/>
    <w:rsid w:val="00331849"/>
    <w:rsid w:val="0033268C"/>
    <w:rsid w:val="00334A2A"/>
    <w:rsid w:val="00334F70"/>
    <w:rsid w:val="003370D2"/>
    <w:rsid w:val="003409B6"/>
    <w:rsid w:val="00341946"/>
    <w:rsid w:val="0034226C"/>
    <w:rsid w:val="00343712"/>
    <w:rsid w:val="00357E92"/>
    <w:rsid w:val="00362907"/>
    <w:rsid w:val="00367446"/>
    <w:rsid w:val="00367F93"/>
    <w:rsid w:val="0037580E"/>
    <w:rsid w:val="00377CCC"/>
    <w:rsid w:val="00395D4C"/>
    <w:rsid w:val="003C07E0"/>
    <w:rsid w:val="003C3180"/>
    <w:rsid w:val="003C420B"/>
    <w:rsid w:val="003D170C"/>
    <w:rsid w:val="003D7162"/>
    <w:rsid w:val="003E46EE"/>
    <w:rsid w:val="003F1D7C"/>
    <w:rsid w:val="003F27FC"/>
    <w:rsid w:val="00411DF2"/>
    <w:rsid w:val="004125A1"/>
    <w:rsid w:val="00413F29"/>
    <w:rsid w:val="00423BFA"/>
    <w:rsid w:val="00425293"/>
    <w:rsid w:val="00430638"/>
    <w:rsid w:val="00432780"/>
    <w:rsid w:val="00433446"/>
    <w:rsid w:val="00440817"/>
    <w:rsid w:val="00440BAA"/>
    <w:rsid w:val="00442DE1"/>
    <w:rsid w:val="004564B8"/>
    <w:rsid w:val="00476C3B"/>
    <w:rsid w:val="00483460"/>
    <w:rsid w:val="00486EEE"/>
    <w:rsid w:val="00490C52"/>
    <w:rsid w:val="00493640"/>
    <w:rsid w:val="00495D10"/>
    <w:rsid w:val="004969F4"/>
    <w:rsid w:val="004A16C6"/>
    <w:rsid w:val="004A4DC7"/>
    <w:rsid w:val="004B0E70"/>
    <w:rsid w:val="004C3662"/>
    <w:rsid w:val="004D1AE3"/>
    <w:rsid w:val="004E04A2"/>
    <w:rsid w:val="004E0D2A"/>
    <w:rsid w:val="004F5CE1"/>
    <w:rsid w:val="0050065E"/>
    <w:rsid w:val="00501B8C"/>
    <w:rsid w:val="0050236E"/>
    <w:rsid w:val="00532A72"/>
    <w:rsid w:val="005338ED"/>
    <w:rsid w:val="005364D7"/>
    <w:rsid w:val="00536B61"/>
    <w:rsid w:val="00537DDE"/>
    <w:rsid w:val="00547EA3"/>
    <w:rsid w:val="005502AA"/>
    <w:rsid w:val="0055264E"/>
    <w:rsid w:val="00553799"/>
    <w:rsid w:val="005563BF"/>
    <w:rsid w:val="00557053"/>
    <w:rsid w:val="0056003A"/>
    <w:rsid w:val="00565C98"/>
    <w:rsid w:val="00572C90"/>
    <w:rsid w:val="00573555"/>
    <w:rsid w:val="00581DEA"/>
    <w:rsid w:val="005903FC"/>
    <w:rsid w:val="00590762"/>
    <w:rsid w:val="0059269F"/>
    <w:rsid w:val="005A2A2E"/>
    <w:rsid w:val="005A578E"/>
    <w:rsid w:val="005B207F"/>
    <w:rsid w:val="005B520A"/>
    <w:rsid w:val="005B690C"/>
    <w:rsid w:val="005C4B46"/>
    <w:rsid w:val="005C59A5"/>
    <w:rsid w:val="005C63DD"/>
    <w:rsid w:val="005D078D"/>
    <w:rsid w:val="005D0AB3"/>
    <w:rsid w:val="005D2B28"/>
    <w:rsid w:val="005D3ACD"/>
    <w:rsid w:val="005D4721"/>
    <w:rsid w:val="005D72FB"/>
    <w:rsid w:val="005D75BE"/>
    <w:rsid w:val="005E3601"/>
    <w:rsid w:val="005F094D"/>
    <w:rsid w:val="005F3128"/>
    <w:rsid w:val="005F33B0"/>
    <w:rsid w:val="00601F4C"/>
    <w:rsid w:val="0061082C"/>
    <w:rsid w:val="00620CF6"/>
    <w:rsid w:val="00624FC3"/>
    <w:rsid w:val="00625784"/>
    <w:rsid w:val="0062753F"/>
    <w:rsid w:val="00632E43"/>
    <w:rsid w:val="006370DA"/>
    <w:rsid w:val="00643F8B"/>
    <w:rsid w:val="006446C4"/>
    <w:rsid w:val="0066085F"/>
    <w:rsid w:val="00661D46"/>
    <w:rsid w:val="006632D5"/>
    <w:rsid w:val="006703C7"/>
    <w:rsid w:val="00684B89"/>
    <w:rsid w:val="00695668"/>
    <w:rsid w:val="00697730"/>
    <w:rsid w:val="006A134D"/>
    <w:rsid w:val="006A2833"/>
    <w:rsid w:val="006A526C"/>
    <w:rsid w:val="006A6FBB"/>
    <w:rsid w:val="006C1A89"/>
    <w:rsid w:val="006D3344"/>
    <w:rsid w:val="006D385E"/>
    <w:rsid w:val="006D71BB"/>
    <w:rsid w:val="006E2DBA"/>
    <w:rsid w:val="006E4E11"/>
    <w:rsid w:val="006E6B98"/>
    <w:rsid w:val="006F1BDB"/>
    <w:rsid w:val="006F2CA5"/>
    <w:rsid w:val="00702559"/>
    <w:rsid w:val="00702800"/>
    <w:rsid w:val="0071493A"/>
    <w:rsid w:val="00715850"/>
    <w:rsid w:val="00716F51"/>
    <w:rsid w:val="0072243C"/>
    <w:rsid w:val="00722449"/>
    <w:rsid w:val="00726160"/>
    <w:rsid w:val="00726BBE"/>
    <w:rsid w:val="007355FF"/>
    <w:rsid w:val="00740C04"/>
    <w:rsid w:val="00753ADB"/>
    <w:rsid w:val="0076210C"/>
    <w:rsid w:val="00762A0C"/>
    <w:rsid w:val="007655FD"/>
    <w:rsid w:val="00776A85"/>
    <w:rsid w:val="00777A3C"/>
    <w:rsid w:val="00786BCB"/>
    <w:rsid w:val="007907E2"/>
    <w:rsid w:val="00797521"/>
    <w:rsid w:val="007A12E5"/>
    <w:rsid w:val="007A1F06"/>
    <w:rsid w:val="007A2544"/>
    <w:rsid w:val="007A3ACC"/>
    <w:rsid w:val="007A753F"/>
    <w:rsid w:val="007A75BA"/>
    <w:rsid w:val="007B3734"/>
    <w:rsid w:val="007B3939"/>
    <w:rsid w:val="007C0021"/>
    <w:rsid w:val="007C218D"/>
    <w:rsid w:val="007C3315"/>
    <w:rsid w:val="007C52D1"/>
    <w:rsid w:val="007D6398"/>
    <w:rsid w:val="007D67A6"/>
    <w:rsid w:val="007F0010"/>
    <w:rsid w:val="007F0994"/>
    <w:rsid w:val="007F2272"/>
    <w:rsid w:val="007F425D"/>
    <w:rsid w:val="007F695C"/>
    <w:rsid w:val="007F7A03"/>
    <w:rsid w:val="0080796D"/>
    <w:rsid w:val="008131A3"/>
    <w:rsid w:val="008135B5"/>
    <w:rsid w:val="00833D03"/>
    <w:rsid w:val="0083740A"/>
    <w:rsid w:val="00850A9F"/>
    <w:rsid w:val="00853873"/>
    <w:rsid w:val="00856BEE"/>
    <w:rsid w:val="0087080D"/>
    <w:rsid w:val="00876A35"/>
    <w:rsid w:val="008806A4"/>
    <w:rsid w:val="008908CB"/>
    <w:rsid w:val="00894028"/>
    <w:rsid w:val="008A040C"/>
    <w:rsid w:val="008A52E9"/>
    <w:rsid w:val="008A76F9"/>
    <w:rsid w:val="008B024C"/>
    <w:rsid w:val="008B0993"/>
    <w:rsid w:val="008B145B"/>
    <w:rsid w:val="008B6C17"/>
    <w:rsid w:val="008B7AE1"/>
    <w:rsid w:val="008C345B"/>
    <w:rsid w:val="008D3A86"/>
    <w:rsid w:val="008D7088"/>
    <w:rsid w:val="008E1E46"/>
    <w:rsid w:val="008E409A"/>
    <w:rsid w:val="008E6A8F"/>
    <w:rsid w:val="008F327D"/>
    <w:rsid w:val="008F3E1A"/>
    <w:rsid w:val="009029C4"/>
    <w:rsid w:val="009117C0"/>
    <w:rsid w:val="00912B06"/>
    <w:rsid w:val="0091460B"/>
    <w:rsid w:val="00916308"/>
    <w:rsid w:val="00917860"/>
    <w:rsid w:val="009245CC"/>
    <w:rsid w:val="00925334"/>
    <w:rsid w:val="00933D13"/>
    <w:rsid w:val="00951AEB"/>
    <w:rsid w:val="0095480D"/>
    <w:rsid w:val="00954C56"/>
    <w:rsid w:val="00962441"/>
    <w:rsid w:val="009667C3"/>
    <w:rsid w:val="009711F8"/>
    <w:rsid w:val="00971730"/>
    <w:rsid w:val="00977DB8"/>
    <w:rsid w:val="009842E0"/>
    <w:rsid w:val="00985A08"/>
    <w:rsid w:val="009922E1"/>
    <w:rsid w:val="009A2CE9"/>
    <w:rsid w:val="009B0D8C"/>
    <w:rsid w:val="009B6A96"/>
    <w:rsid w:val="009C27DF"/>
    <w:rsid w:val="009C5334"/>
    <w:rsid w:val="009C5DC1"/>
    <w:rsid w:val="009C7B49"/>
    <w:rsid w:val="009D2FFF"/>
    <w:rsid w:val="009D6794"/>
    <w:rsid w:val="009E3C9B"/>
    <w:rsid w:val="009E44F4"/>
    <w:rsid w:val="009E6750"/>
    <w:rsid w:val="00A05D1A"/>
    <w:rsid w:val="00A06B71"/>
    <w:rsid w:val="00A21C29"/>
    <w:rsid w:val="00A22404"/>
    <w:rsid w:val="00A23FEB"/>
    <w:rsid w:val="00A27206"/>
    <w:rsid w:val="00A4126C"/>
    <w:rsid w:val="00A45104"/>
    <w:rsid w:val="00A454EE"/>
    <w:rsid w:val="00A4674C"/>
    <w:rsid w:val="00A52FCD"/>
    <w:rsid w:val="00A554C3"/>
    <w:rsid w:val="00A55C4A"/>
    <w:rsid w:val="00A56A6A"/>
    <w:rsid w:val="00A57A7E"/>
    <w:rsid w:val="00A6043A"/>
    <w:rsid w:val="00A60CAE"/>
    <w:rsid w:val="00A755C5"/>
    <w:rsid w:val="00A86DD3"/>
    <w:rsid w:val="00A86EE9"/>
    <w:rsid w:val="00A92E11"/>
    <w:rsid w:val="00A9643A"/>
    <w:rsid w:val="00AA2EE5"/>
    <w:rsid w:val="00AA5B1D"/>
    <w:rsid w:val="00AA6632"/>
    <w:rsid w:val="00AB22EE"/>
    <w:rsid w:val="00AB4D11"/>
    <w:rsid w:val="00AB756E"/>
    <w:rsid w:val="00AC3BD6"/>
    <w:rsid w:val="00AC723D"/>
    <w:rsid w:val="00AD67AD"/>
    <w:rsid w:val="00AD73E8"/>
    <w:rsid w:val="00AE1F9B"/>
    <w:rsid w:val="00AE41AA"/>
    <w:rsid w:val="00AF1FA4"/>
    <w:rsid w:val="00AF223B"/>
    <w:rsid w:val="00AF3E24"/>
    <w:rsid w:val="00B005AC"/>
    <w:rsid w:val="00B0158D"/>
    <w:rsid w:val="00B04BCA"/>
    <w:rsid w:val="00B1478A"/>
    <w:rsid w:val="00B1744D"/>
    <w:rsid w:val="00B20320"/>
    <w:rsid w:val="00B3438B"/>
    <w:rsid w:val="00B50479"/>
    <w:rsid w:val="00B52D03"/>
    <w:rsid w:val="00B53191"/>
    <w:rsid w:val="00B5735E"/>
    <w:rsid w:val="00B61C6C"/>
    <w:rsid w:val="00B6480F"/>
    <w:rsid w:val="00B66EC5"/>
    <w:rsid w:val="00B723C5"/>
    <w:rsid w:val="00B73C32"/>
    <w:rsid w:val="00B74280"/>
    <w:rsid w:val="00B75283"/>
    <w:rsid w:val="00B8011D"/>
    <w:rsid w:val="00B8137A"/>
    <w:rsid w:val="00B817AA"/>
    <w:rsid w:val="00B844E8"/>
    <w:rsid w:val="00B84D3A"/>
    <w:rsid w:val="00B8683E"/>
    <w:rsid w:val="00B8697E"/>
    <w:rsid w:val="00BA1C91"/>
    <w:rsid w:val="00BA2F50"/>
    <w:rsid w:val="00BA702E"/>
    <w:rsid w:val="00BA7272"/>
    <w:rsid w:val="00BB3339"/>
    <w:rsid w:val="00BB75A8"/>
    <w:rsid w:val="00BB7FD2"/>
    <w:rsid w:val="00BD732B"/>
    <w:rsid w:val="00BF6D05"/>
    <w:rsid w:val="00C063C9"/>
    <w:rsid w:val="00C0675F"/>
    <w:rsid w:val="00C13F9A"/>
    <w:rsid w:val="00C35D1B"/>
    <w:rsid w:val="00C504BE"/>
    <w:rsid w:val="00C520DB"/>
    <w:rsid w:val="00C55B38"/>
    <w:rsid w:val="00C60B31"/>
    <w:rsid w:val="00C62418"/>
    <w:rsid w:val="00C65E3D"/>
    <w:rsid w:val="00C7423D"/>
    <w:rsid w:val="00C74A3C"/>
    <w:rsid w:val="00C75C1F"/>
    <w:rsid w:val="00C80E20"/>
    <w:rsid w:val="00C82B4F"/>
    <w:rsid w:val="00C85204"/>
    <w:rsid w:val="00C86879"/>
    <w:rsid w:val="00C90064"/>
    <w:rsid w:val="00CA0F7F"/>
    <w:rsid w:val="00CA256A"/>
    <w:rsid w:val="00CA2EF0"/>
    <w:rsid w:val="00CB4DE2"/>
    <w:rsid w:val="00CC55D3"/>
    <w:rsid w:val="00CD4EFF"/>
    <w:rsid w:val="00CE6592"/>
    <w:rsid w:val="00CE7A6E"/>
    <w:rsid w:val="00CF61CE"/>
    <w:rsid w:val="00CF6CAA"/>
    <w:rsid w:val="00D00B3F"/>
    <w:rsid w:val="00D0334D"/>
    <w:rsid w:val="00D056FD"/>
    <w:rsid w:val="00D13AEC"/>
    <w:rsid w:val="00D14FA7"/>
    <w:rsid w:val="00D157FC"/>
    <w:rsid w:val="00D17CE6"/>
    <w:rsid w:val="00D2343F"/>
    <w:rsid w:val="00D23D4E"/>
    <w:rsid w:val="00D32349"/>
    <w:rsid w:val="00D32E0E"/>
    <w:rsid w:val="00D34DA8"/>
    <w:rsid w:val="00D446C3"/>
    <w:rsid w:val="00D460DF"/>
    <w:rsid w:val="00D474CC"/>
    <w:rsid w:val="00D479FE"/>
    <w:rsid w:val="00D6080E"/>
    <w:rsid w:val="00D62C35"/>
    <w:rsid w:val="00D72D7C"/>
    <w:rsid w:val="00D90BB4"/>
    <w:rsid w:val="00D956BE"/>
    <w:rsid w:val="00DA1B35"/>
    <w:rsid w:val="00DA36A6"/>
    <w:rsid w:val="00DB06D4"/>
    <w:rsid w:val="00DB37EC"/>
    <w:rsid w:val="00DB576E"/>
    <w:rsid w:val="00DC2438"/>
    <w:rsid w:val="00DC37D2"/>
    <w:rsid w:val="00DC50BE"/>
    <w:rsid w:val="00DC6930"/>
    <w:rsid w:val="00DD7CF4"/>
    <w:rsid w:val="00DE009D"/>
    <w:rsid w:val="00DE6566"/>
    <w:rsid w:val="00DE7295"/>
    <w:rsid w:val="00E033A8"/>
    <w:rsid w:val="00E03D18"/>
    <w:rsid w:val="00E0649C"/>
    <w:rsid w:val="00E1389E"/>
    <w:rsid w:val="00E306BF"/>
    <w:rsid w:val="00E316DC"/>
    <w:rsid w:val="00E37305"/>
    <w:rsid w:val="00E37D7A"/>
    <w:rsid w:val="00E40638"/>
    <w:rsid w:val="00E5162B"/>
    <w:rsid w:val="00E53249"/>
    <w:rsid w:val="00E54063"/>
    <w:rsid w:val="00E544AD"/>
    <w:rsid w:val="00E61668"/>
    <w:rsid w:val="00E671F8"/>
    <w:rsid w:val="00E71AD0"/>
    <w:rsid w:val="00E75AF0"/>
    <w:rsid w:val="00E81DCE"/>
    <w:rsid w:val="00E9328B"/>
    <w:rsid w:val="00E93BF7"/>
    <w:rsid w:val="00E9687E"/>
    <w:rsid w:val="00EA1206"/>
    <w:rsid w:val="00EA4773"/>
    <w:rsid w:val="00EA7CF8"/>
    <w:rsid w:val="00EB05B3"/>
    <w:rsid w:val="00EB307D"/>
    <w:rsid w:val="00EB6843"/>
    <w:rsid w:val="00EC0479"/>
    <w:rsid w:val="00EC2600"/>
    <w:rsid w:val="00EC7604"/>
    <w:rsid w:val="00ED65C7"/>
    <w:rsid w:val="00ED7E64"/>
    <w:rsid w:val="00EF7A4F"/>
    <w:rsid w:val="00F02C7B"/>
    <w:rsid w:val="00F112EC"/>
    <w:rsid w:val="00F14BF1"/>
    <w:rsid w:val="00F154C8"/>
    <w:rsid w:val="00F31BEC"/>
    <w:rsid w:val="00F4229C"/>
    <w:rsid w:val="00F460D3"/>
    <w:rsid w:val="00F50796"/>
    <w:rsid w:val="00F51B76"/>
    <w:rsid w:val="00F607F1"/>
    <w:rsid w:val="00F62E0B"/>
    <w:rsid w:val="00F63202"/>
    <w:rsid w:val="00F73C7F"/>
    <w:rsid w:val="00F758AC"/>
    <w:rsid w:val="00F82D76"/>
    <w:rsid w:val="00F84424"/>
    <w:rsid w:val="00F91003"/>
    <w:rsid w:val="00F91E9C"/>
    <w:rsid w:val="00F93B9D"/>
    <w:rsid w:val="00F96EEB"/>
    <w:rsid w:val="00FA1414"/>
    <w:rsid w:val="00FA4255"/>
    <w:rsid w:val="00FB00E0"/>
    <w:rsid w:val="00FB2F81"/>
    <w:rsid w:val="00FC21A3"/>
    <w:rsid w:val="00FC6070"/>
    <w:rsid w:val="00FD32D7"/>
    <w:rsid w:val="00FE0C6D"/>
    <w:rsid w:val="00FE4D21"/>
    <w:rsid w:val="00FE7DB6"/>
    <w:rsid w:val="00FF30F3"/>
    <w:rsid w:val="00FF4E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nhideWhenUsed="0" w:qFormat="1"/>
    <w:lsdException w:name="Body Text 2" w:unhideWhenUsed="0"/>
    <w:lsdException w:name="Strong" w:semiHidden="0" w:uiPriority="22"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B46"/>
    <w:pPr>
      <w:spacing w:after="200" w:line="276" w:lineRule="auto"/>
    </w:pPr>
    <w:rPr>
      <w:rFonts w:cs="Calibri"/>
      <w:lang w:eastAsia="en-US"/>
    </w:rPr>
  </w:style>
  <w:style w:type="paragraph" w:styleId="Heading1">
    <w:name w:val="heading 1"/>
    <w:basedOn w:val="Normal"/>
    <w:next w:val="Normal"/>
    <w:link w:val="Heading1Char"/>
    <w:uiPriority w:val="99"/>
    <w:qFormat/>
    <w:rsid w:val="00776A85"/>
    <w:pPr>
      <w:keepNext/>
      <w:keepLines/>
      <w:spacing w:after="0"/>
      <w:jc w:val="center"/>
      <w:outlineLvl w:val="0"/>
    </w:pPr>
    <w:rPr>
      <w:rFonts w:cs="Times New Roman"/>
      <w:color w:val="365F91"/>
      <w:sz w:val="28"/>
      <w:szCs w:val="28"/>
      <w:lang w:eastAsia="ru-RU"/>
    </w:rPr>
  </w:style>
  <w:style w:type="paragraph" w:styleId="Heading2">
    <w:name w:val="heading 2"/>
    <w:basedOn w:val="Normal"/>
    <w:next w:val="Normal"/>
    <w:link w:val="Heading2Char"/>
    <w:uiPriority w:val="99"/>
    <w:qFormat/>
    <w:rsid w:val="007F425D"/>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B005AC"/>
    <w:pPr>
      <w:keepNext/>
      <w:keepLines/>
      <w:spacing w:before="200" w:after="0"/>
      <w:outlineLvl w:val="2"/>
    </w:pPr>
    <w:rPr>
      <w:rFonts w:ascii="Cambria" w:hAnsi="Cambria" w:cs="Cambria"/>
      <w:b/>
      <w:bCs/>
      <w:color w:val="4F81BD"/>
      <w:sz w:val="20"/>
      <w:szCs w:val="20"/>
    </w:rPr>
  </w:style>
  <w:style w:type="paragraph" w:styleId="Heading6">
    <w:name w:val="heading 6"/>
    <w:basedOn w:val="Normal"/>
    <w:next w:val="Normal"/>
    <w:link w:val="Heading6Char"/>
    <w:uiPriority w:val="99"/>
    <w:qFormat/>
    <w:rsid w:val="00B005AC"/>
    <w:pPr>
      <w:keepNext/>
      <w:keepLines/>
      <w:spacing w:before="200" w:after="0"/>
      <w:outlineLvl w:val="5"/>
    </w:pPr>
    <w:rPr>
      <w:rFonts w:ascii="Cambria" w:hAnsi="Cambria" w:cs="Cambria"/>
      <w:i/>
      <w:iCs/>
      <w:color w:val="243F6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76A85"/>
    <w:rPr>
      <w:rFonts w:ascii="Times New Roman" w:hAnsi="Times New Roman" w:cs="Times New Roman"/>
      <w:color w:val="365F91"/>
      <w:sz w:val="28"/>
      <w:szCs w:val="28"/>
    </w:rPr>
  </w:style>
  <w:style w:type="character" w:customStyle="1" w:styleId="Heading2Char">
    <w:name w:val="Heading 2 Char"/>
    <w:basedOn w:val="DefaultParagraphFont"/>
    <w:link w:val="Heading2"/>
    <w:uiPriority w:val="99"/>
    <w:rsid w:val="007F425D"/>
    <w:rPr>
      <w:rFonts w:ascii="Arial" w:hAnsi="Arial" w:cs="Arial"/>
      <w:b/>
      <w:bCs/>
      <w:i/>
      <w:iCs/>
      <w:sz w:val="28"/>
      <w:szCs w:val="28"/>
    </w:rPr>
  </w:style>
  <w:style w:type="character" w:customStyle="1" w:styleId="Heading3Char">
    <w:name w:val="Heading 3 Char"/>
    <w:basedOn w:val="DefaultParagraphFont"/>
    <w:link w:val="Heading3"/>
    <w:uiPriority w:val="99"/>
    <w:semiHidden/>
    <w:rsid w:val="00B005AC"/>
    <w:rPr>
      <w:rFonts w:ascii="Cambria" w:hAnsi="Cambria" w:cs="Cambria"/>
      <w:b/>
      <w:bCs/>
      <w:color w:val="4F81BD"/>
      <w:lang w:eastAsia="en-US"/>
    </w:rPr>
  </w:style>
  <w:style w:type="character" w:customStyle="1" w:styleId="Heading6Char">
    <w:name w:val="Heading 6 Char"/>
    <w:basedOn w:val="DefaultParagraphFont"/>
    <w:link w:val="Heading6"/>
    <w:uiPriority w:val="99"/>
    <w:rsid w:val="00B005AC"/>
    <w:rPr>
      <w:rFonts w:ascii="Cambria" w:hAnsi="Cambria" w:cs="Cambria"/>
      <w:i/>
      <w:iCs/>
      <w:color w:val="243F60"/>
      <w:lang w:eastAsia="en-US"/>
    </w:rPr>
  </w:style>
  <w:style w:type="paragraph" w:customStyle="1" w:styleId="ConsPlusCell">
    <w:name w:val="ConsPlusCell"/>
    <w:uiPriority w:val="99"/>
    <w:rsid w:val="005C4B46"/>
    <w:pPr>
      <w:widowControl w:val="0"/>
      <w:autoSpaceDE w:val="0"/>
      <w:autoSpaceDN w:val="0"/>
      <w:adjustRightInd w:val="0"/>
    </w:pPr>
    <w:rPr>
      <w:rFonts w:cs="Calibri"/>
    </w:rPr>
  </w:style>
  <w:style w:type="paragraph" w:styleId="ListParagraph">
    <w:name w:val="List Paragraph"/>
    <w:basedOn w:val="Normal"/>
    <w:uiPriority w:val="99"/>
    <w:qFormat/>
    <w:rsid w:val="005C4B46"/>
    <w:pPr>
      <w:ind w:left="720"/>
    </w:pPr>
  </w:style>
  <w:style w:type="paragraph" w:customStyle="1" w:styleId="a">
    <w:name w:val="Знак Знак Знак Знак"/>
    <w:basedOn w:val="Normal"/>
    <w:uiPriority w:val="99"/>
    <w:rsid w:val="004125A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BodyTextIndent">
    <w:name w:val="Body Text Indent"/>
    <w:basedOn w:val="Normal"/>
    <w:link w:val="BodyTextIndentChar"/>
    <w:uiPriority w:val="99"/>
    <w:rsid w:val="006D3344"/>
    <w:pPr>
      <w:shd w:val="clear" w:color="auto" w:fill="FFFFFF"/>
      <w:spacing w:after="0" w:line="240" w:lineRule="auto"/>
      <w:ind w:firstLine="703"/>
      <w:jc w:val="center"/>
    </w:pPr>
    <w:rPr>
      <w:rFonts w:ascii="Arial" w:hAnsi="Arial" w:cs="Arial"/>
      <w:color w:val="000000"/>
      <w:spacing w:val="2"/>
      <w:sz w:val="28"/>
      <w:szCs w:val="28"/>
      <w:lang w:eastAsia="ru-RU"/>
    </w:rPr>
  </w:style>
  <w:style w:type="character" w:customStyle="1" w:styleId="BodyTextIndentChar">
    <w:name w:val="Body Text Indent Char"/>
    <w:basedOn w:val="DefaultParagraphFont"/>
    <w:link w:val="BodyTextIndent"/>
    <w:uiPriority w:val="99"/>
    <w:rsid w:val="006D3344"/>
    <w:rPr>
      <w:rFonts w:ascii="Arial" w:hAnsi="Arial" w:cs="Arial"/>
      <w:color w:val="000000"/>
      <w:spacing w:val="2"/>
      <w:sz w:val="28"/>
      <w:szCs w:val="28"/>
      <w:shd w:val="clear" w:color="auto" w:fill="FFFFFF"/>
      <w:lang w:eastAsia="ru-RU"/>
    </w:rPr>
  </w:style>
  <w:style w:type="paragraph" w:styleId="Subtitle">
    <w:name w:val="Subtitle"/>
    <w:basedOn w:val="Normal"/>
    <w:link w:val="SubtitleChar"/>
    <w:uiPriority w:val="99"/>
    <w:qFormat/>
    <w:rsid w:val="006D3344"/>
    <w:pPr>
      <w:spacing w:after="0" w:line="240" w:lineRule="auto"/>
      <w:jc w:val="center"/>
    </w:pPr>
    <w:rPr>
      <w:rFonts w:ascii="Century Gothic" w:hAnsi="Century Gothic" w:cs="Century Gothic"/>
      <w:b/>
      <w:bCs/>
      <w:sz w:val="20"/>
      <w:szCs w:val="20"/>
      <w:lang w:eastAsia="ru-RU"/>
    </w:rPr>
  </w:style>
  <w:style w:type="character" w:customStyle="1" w:styleId="SubtitleChar">
    <w:name w:val="Subtitle Char"/>
    <w:basedOn w:val="DefaultParagraphFont"/>
    <w:link w:val="Subtitle"/>
    <w:uiPriority w:val="99"/>
    <w:rsid w:val="006D3344"/>
    <w:rPr>
      <w:rFonts w:ascii="Century Gothic" w:hAnsi="Century Gothic" w:cs="Century Gothic"/>
      <w:b/>
      <w:bCs/>
      <w:sz w:val="20"/>
      <w:szCs w:val="20"/>
      <w:lang w:eastAsia="ru-RU"/>
    </w:rPr>
  </w:style>
  <w:style w:type="paragraph" w:styleId="BodyText2">
    <w:name w:val="Body Text 2"/>
    <w:basedOn w:val="Normal"/>
    <w:link w:val="BodyText2Char"/>
    <w:uiPriority w:val="99"/>
    <w:semiHidden/>
    <w:rsid w:val="007655FD"/>
    <w:pPr>
      <w:spacing w:after="120" w:line="480" w:lineRule="auto"/>
    </w:pPr>
  </w:style>
  <w:style w:type="character" w:customStyle="1" w:styleId="BodyText2Char">
    <w:name w:val="Body Text 2 Char"/>
    <w:basedOn w:val="DefaultParagraphFont"/>
    <w:link w:val="BodyText2"/>
    <w:uiPriority w:val="99"/>
    <w:semiHidden/>
    <w:rsid w:val="007655FD"/>
  </w:style>
  <w:style w:type="paragraph" w:customStyle="1" w:styleId="ConsPlusNormal">
    <w:name w:val="ConsPlusNormal"/>
    <w:uiPriority w:val="99"/>
    <w:rsid w:val="00776A85"/>
    <w:pPr>
      <w:widowControl w:val="0"/>
      <w:autoSpaceDE w:val="0"/>
      <w:autoSpaceDN w:val="0"/>
      <w:adjustRightInd w:val="0"/>
      <w:ind w:firstLine="720"/>
    </w:pPr>
    <w:rPr>
      <w:rFonts w:ascii="Arial" w:eastAsia="Times New Roman" w:hAnsi="Arial" w:cs="Arial"/>
      <w:sz w:val="20"/>
      <w:szCs w:val="20"/>
    </w:rPr>
  </w:style>
  <w:style w:type="paragraph" w:styleId="BalloonText">
    <w:name w:val="Balloon Text"/>
    <w:basedOn w:val="Normal"/>
    <w:link w:val="BalloonTextChar"/>
    <w:uiPriority w:val="99"/>
    <w:semiHidden/>
    <w:rsid w:val="00080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75B"/>
    <w:rPr>
      <w:rFonts w:ascii="Tahoma" w:hAnsi="Tahoma" w:cs="Tahoma"/>
      <w:sz w:val="16"/>
      <w:szCs w:val="16"/>
      <w:lang w:eastAsia="en-US"/>
    </w:rPr>
  </w:style>
  <w:style w:type="paragraph" w:customStyle="1" w:styleId="1">
    <w:name w:val="Абзац списка1"/>
    <w:aliases w:val="ПАРАГРАФ,List Paragraph1"/>
    <w:basedOn w:val="Normal"/>
    <w:uiPriority w:val="99"/>
    <w:rsid w:val="00B005AC"/>
    <w:pPr>
      <w:ind w:left="720"/>
    </w:pPr>
    <w:rPr>
      <w:rFonts w:eastAsia="Times New Roman"/>
    </w:rPr>
  </w:style>
  <w:style w:type="paragraph" w:styleId="Header">
    <w:name w:val="header"/>
    <w:aliases w:val="Верхний колонтитул Знак Знак,Знак6 Знак Знак"/>
    <w:basedOn w:val="Normal"/>
    <w:link w:val="HeaderChar"/>
    <w:uiPriority w:val="99"/>
    <w:rsid w:val="00B005AC"/>
    <w:pPr>
      <w:tabs>
        <w:tab w:val="center" w:pos="4677"/>
        <w:tab w:val="right" w:pos="9355"/>
      </w:tabs>
      <w:jc w:val="both"/>
    </w:pPr>
    <w:rPr>
      <w:rFonts w:eastAsia="Times New Roman"/>
      <w:sz w:val="20"/>
      <w:szCs w:val="20"/>
      <w:lang w:val="en-US"/>
    </w:rPr>
  </w:style>
  <w:style w:type="character" w:customStyle="1" w:styleId="HeaderChar">
    <w:name w:val="Header Char"/>
    <w:aliases w:val="Верхний колонтитул Знак Знак Char,Знак6 Знак Знак Char"/>
    <w:basedOn w:val="DefaultParagraphFont"/>
    <w:link w:val="Header"/>
    <w:uiPriority w:val="99"/>
    <w:rsid w:val="00B005AC"/>
    <w:rPr>
      <w:rFonts w:eastAsia="Times New Roman"/>
      <w:sz w:val="20"/>
      <w:szCs w:val="20"/>
      <w:lang w:val="en-US" w:eastAsia="en-US"/>
    </w:rPr>
  </w:style>
  <w:style w:type="paragraph" w:styleId="Title">
    <w:name w:val="Title"/>
    <w:basedOn w:val="Normal"/>
    <w:next w:val="Normal"/>
    <w:link w:val="TitleChar"/>
    <w:uiPriority w:val="99"/>
    <w:qFormat/>
    <w:rsid w:val="00B005AC"/>
    <w:pPr>
      <w:pBdr>
        <w:bottom w:val="single" w:sz="8" w:space="4" w:color="4F81BD"/>
      </w:pBdr>
      <w:spacing w:after="300" w:line="240" w:lineRule="auto"/>
    </w:pPr>
    <w:rPr>
      <w:rFonts w:ascii="Cambria" w:hAnsi="Cambria" w:cs="Cambria"/>
      <w:color w:val="17365D"/>
      <w:spacing w:val="5"/>
      <w:kern w:val="28"/>
      <w:sz w:val="52"/>
      <w:szCs w:val="52"/>
      <w:lang w:val="en-US"/>
    </w:rPr>
  </w:style>
  <w:style w:type="character" w:customStyle="1" w:styleId="TitleChar">
    <w:name w:val="Title Char"/>
    <w:basedOn w:val="DefaultParagraphFont"/>
    <w:link w:val="Title"/>
    <w:uiPriority w:val="99"/>
    <w:rsid w:val="00B005AC"/>
    <w:rPr>
      <w:rFonts w:ascii="Cambria" w:hAnsi="Cambria" w:cs="Cambria"/>
      <w:color w:val="17365D"/>
      <w:spacing w:val="5"/>
      <w:kern w:val="28"/>
      <w:sz w:val="52"/>
      <w:szCs w:val="52"/>
      <w:lang w:val="en-US" w:eastAsia="en-US"/>
    </w:rPr>
  </w:style>
  <w:style w:type="paragraph" w:styleId="PlainText">
    <w:name w:val="Plain Text"/>
    <w:basedOn w:val="Normal"/>
    <w:link w:val="PlainTextChar"/>
    <w:uiPriority w:val="99"/>
    <w:rsid w:val="00B005AC"/>
    <w:pPr>
      <w:spacing w:after="0" w:line="288" w:lineRule="auto"/>
      <w:jc w:val="center"/>
    </w:pPr>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B005AC"/>
    <w:rPr>
      <w:rFonts w:ascii="Courier New" w:hAnsi="Courier New" w:cs="Courier New"/>
      <w:sz w:val="20"/>
      <w:szCs w:val="20"/>
      <w:lang w:val="en-US" w:eastAsia="en-US"/>
    </w:rPr>
  </w:style>
  <w:style w:type="character" w:customStyle="1" w:styleId="NoSpacingChar">
    <w:name w:val="No Spacing Char"/>
    <w:link w:val="10"/>
    <w:uiPriority w:val="99"/>
    <w:rsid w:val="00B005AC"/>
    <w:rPr>
      <w:sz w:val="22"/>
      <w:szCs w:val="22"/>
      <w:lang w:val="ru-RU" w:eastAsia="ru-RU"/>
    </w:rPr>
  </w:style>
  <w:style w:type="paragraph" w:customStyle="1" w:styleId="10">
    <w:name w:val="Без интервала1"/>
    <w:link w:val="NoSpacingChar"/>
    <w:uiPriority w:val="99"/>
    <w:rsid w:val="00B005AC"/>
    <w:pPr>
      <w:spacing w:before="60" w:after="60"/>
    </w:pPr>
    <w:rPr>
      <w:rFonts w:cs="Calibri"/>
    </w:rPr>
  </w:style>
  <w:style w:type="character" w:customStyle="1" w:styleId="11">
    <w:name w:val="Основной текст Знак1"/>
    <w:uiPriority w:val="99"/>
    <w:rsid w:val="00B005AC"/>
    <w:rPr>
      <w:rFonts w:ascii="Times New Roman" w:hAnsi="Times New Roman" w:cs="Times New Roman"/>
      <w:i/>
      <w:iCs/>
      <w:sz w:val="26"/>
      <w:szCs w:val="26"/>
      <w:u w:val="none"/>
    </w:rPr>
  </w:style>
  <w:style w:type="paragraph" w:styleId="NormalWeb">
    <w:name w:val="Normal (Web)"/>
    <w:basedOn w:val="Normal"/>
    <w:uiPriority w:val="99"/>
    <w:rsid w:val="007B3734"/>
    <w:pPr>
      <w:spacing w:after="0" w:line="240" w:lineRule="auto"/>
    </w:pPr>
    <w:rPr>
      <w:rFonts w:ascii="Times New Roman" w:eastAsia="Times New Roman" w:hAnsi="Times New Roman" w:cs="Times New Roman"/>
      <w:sz w:val="24"/>
      <w:szCs w:val="24"/>
      <w:lang w:eastAsia="ru-RU"/>
    </w:rPr>
  </w:style>
  <w:style w:type="paragraph" w:customStyle="1" w:styleId="NoSpacing1">
    <w:name w:val="No Spacing1"/>
    <w:uiPriority w:val="99"/>
    <w:rsid w:val="002E75AE"/>
    <w:pPr>
      <w:spacing w:before="60" w:after="60"/>
    </w:pPr>
    <w:rPr>
      <w:rFonts w:cs="Calibri"/>
    </w:rPr>
  </w:style>
  <w:style w:type="paragraph" w:styleId="BodyText">
    <w:name w:val="Body Text"/>
    <w:aliases w:val="Основной текст Знак Знак Знак,bt,Основной текст1,Основной текст отчета,Body Text Char"/>
    <w:basedOn w:val="Normal"/>
    <w:link w:val="BodyTextChar1"/>
    <w:uiPriority w:val="99"/>
    <w:rsid w:val="00C520DB"/>
    <w:pPr>
      <w:spacing w:after="120" w:line="240" w:lineRule="auto"/>
    </w:pPr>
    <w:rPr>
      <w:rFonts w:ascii="Times New Roman" w:eastAsia="Times New Roman" w:hAnsi="Times New Roman" w:cs="Times New Roman"/>
      <w:sz w:val="24"/>
      <w:szCs w:val="24"/>
      <w:lang w:eastAsia="ru-RU"/>
    </w:rPr>
  </w:style>
  <w:style w:type="character" w:customStyle="1" w:styleId="BodyTextChar1">
    <w:name w:val="Body Text Char1"/>
    <w:aliases w:val="Основной текст Знак Знак Знак Char,bt Char,Основной текст1 Char,Основной текст отчета Char,Body Text Char Char"/>
    <w:basedOn w:val="DefaultParagraphFont"/>
    <w:link w:val="BodyText"/>
    <w:uiPriority w:val="99"/>
    <w:rsid w:val="00C520DB"/>
    <w:rPr>
      <w:rFonts w:ascii="Times New Roman" w:hAnsi="Times New Roman" w:cs="Times New Roman"/>
      <w:sz w:val="24"/>
      <w:szCs w:val="24"/>
    </w:rPr>
  </w:style>
  <w:style w:type="character" w:customStyle="1" w:styleId="a0">
    <w:name w:val="Основной текст Знак"/>
    <w:uiPriority w:val="99"/>
    <w:semiHidden/>
    <w:rsid w:val="00C520DB"/>
    <w:rPr>
      <w:sz w:val="22"/>
      <w:szCs w:val="22"/>
      <w:lang w:eastAsia="en-US"/>
    </w:rPr>
  </w:style>
  <w:style w:type="paragraph" w:customStyle="1" w:styleId="3">
    <w:name w:val="Стиль3"/>
    <w:basedOn w:val="Normal"/>
    <w:uiPriority w:val="99"/>
    <w:rsid w:val="00C520DB"/>
    <w:pPr>
      <w:spacing w:after="0" w:line="240" w:lineRule="auto"/>
      <w:ind w:firstLine="540"/>
      <w:jc w:val="both"/>
    </w:pPr>
    <w:rPr>
      <w:rFonts w:ascii="Arial" w:eastAsia="Times New Roman" w:hAnsi="Arial" w:cs="Arial"/>
      <w:sz w:val="24"/>
      <w:szCs w:val="24"/>
      <w:lang w:eastAsia="ru-RU"/>
    </w:rPr>
  </w:style>
  <w:style w:type="paragraph" w:customStyle="1" w:styleId="BodyTextIndent21">
    <w:name w:val="Body Text Indent 21"/>
    <w:basedOn w:val="Normal"/>
    <w:uiPriority w:val="99"/>
    <w:rsid w:val="0033268C"/>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onsPlusTitle">
    <w:name w:val="ConsPlusTitle"/>
    <w:uiPriority w:val="99"/>
    <w:rsid w:val="0033268C"/>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252098"/>
    <w:pPr>
      <w:widowControl w:val="0"/>
      <w:autoSpaceDE w:val="0"/>
      <w:autoSpaceDN w:val="0"/>
      <w:adjustRightInd w:val="0"/>
    </w:pPr>
    <w:rPr>
      <w:rFonts w:ascii="Courier New" w:eastAsia="Times New Roman" w:hAnsi="Courier New" w:cs="Courier New"/>
      <w:sz w:val="20"/>
      <w:szCs w:val="20"/>
    </w:rPr>
  </w:style>
  <w:style w:type="table" w:styleId="TableGrid">
    <w:name w:val="Table Grid"/>
    <w:basedOn w:val="TableNormal"/>
    <w:uiPriority w:val="99"/>
    <w:rsid w:val="00C6241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9A2CE9"/>
    <w:pPr>
      <w:autoSpaceDE w:val="0"/>
      <w:autoSpaceDN w:val="0"/>
      <w:adjustRightInd w:val="0"/>
    </w:pPr>
    <w:rPr>
      <w:color w:val="000000"/>
      <w:sz w:val="24"/>
      <w:szCs w:val="24"/>
    </w:rPr>
  </w:style>
  <w:style w:type="paragraph" w:customStyle="1" w:styleId="stylet3">
    <w:name w:val="stylet3"/>
    <w:basedOn w:val="Normal"/>
    <w:uiPriority w:val="99"/>
    <w:rsid w:val="007F42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49307449">
      <w:marLeft w:val="0"/>
      <w:marRight w:val="0"/>
      <w:marTop w:val="0"/>
      <w:marBottom w:val="0"/>
      <w:divBdr>
        <w:top w:val="none" w:sz="0" w:space="0" w:color="auto"/>
        <w:left w:val="none" w:sz="0" w:space="0" w:color="auto"/>
        <w:bottom w:val="none" w:sz="0" w:space="0" w:color="auto"/>
        <w:right w:val="none" w:sz="0" w:space="0" w:color="auto"/>
      </w:divBdr>
    </w:div>
    <w:div w:id="1049307450">
      <w:marLeft w:val="0"/>
      <w:marRight w:val="0"/>
      <w:marTop w:val="0"/>
      <w:marBottom w:val="0"/>
      <w:divBdr>
        <w:top w:val="none" w:sz="0" w:space="0" w:color="auto"/>
        <w:left w:val="none" w:sz="0" w:space="0" w:color="auto"/>
        <w:bottom w:val="none" w:sz="0" w:space="0" w:color="auto"/>
        <w:right w:val="none" w:sz="0" w:space="0" w:color="auto"/>
      </w:divBdr>
    </w:div>
    <w:div w:id="1049307451">
      <w:marLeft w:val="0"/>
      <w:marRight w:val="0"/>
      <w:marTop w:val="0"/>
      <w:marBottom w:val="0"/>
      <w:divBdr>
        <w:top w:val="none" w:sz="0" w:space="0" w:color="auto"/>
        <w:left w:val="none" w:sz="0" w:space="0" w:color="auto"/>
        <w:bottom w:val="none" w:sz="0" w:space="0" w:color="auto"/>
        <w:right w:val="none" w:sz="0" w:space="0" w:color="auto"/>
      </w:divBdr>
    </w:div>
    <w:div w:id="1049307452">
      <w:marLeft w:val="0"/>
      <w:marRight w:val="0"/>
      <w:marTop w:val="0"/>
      <w:marBottom w:val="0"/>
      <w:divBdr>
        <w:top w:val="none" w:sz="0" w:space="0" w:color="auto"/>
        <w:left w:val="none" w:sz="0" w:space="0" w:color="auto"/>
        <w:bottom w:val="none" w:sz="0" w:space="0" w:color="auto"/>
        <w:right w:val="none" w:sz="0" w:space="0" w:color="auto"/>
      </w:divBdr>
    </w:div>
    <w:div w:id="1049307453">
      <w:marLeft w:val="0"/>
      <w:marRight w:val="0"/>
      <w:marTop w:val="0"/>
      <w:marBottom w:val="0"/>
      <w:divBdr>
        <w:top w:val="none" w:sz="0" w:space="0" w:color="auto"/>
        <w:left w:val="none" w:sz="0" w:space="0" w:color="auto"/>
        <w:bottom w:val="none" w:sz="0" w:space="0" w:color="auto"/>
        <w:right w:val="none" w:sz="0" w:space="0" w:color="auto"/>
      </w:divBdr>
    </w:div>
    <w:div w:id="1049307454">
      <w:marLeft w:val="0"/>
      <w:marRight w:val="0"/>
      <w:marTop w:val="0"/>
      <w:marBottom w:val="0"/>
      <w:divBdr>
        <w:top w:val="none" w:sz="0" w:space="0" w:color="auto"/>
        <w:left w:val="none" w:sz="0" w:space="0" w:color="auto"/>
        <w:bottom w:val="none" w:sz="0" w:space="0" w:color="auto"/>
        <w:right w:val="none" w:sz="0" w:space="0" w:color="auto"/>
      </w:divBdr>
    </w:div>
    <w:div w:id="1049307455">
      <w:marLeft w:val="0"/>
      <w:marRight w:val="0"/>
      <w:marTop w:val="0"/>
      <w:marBottom w:val="0"/>
      <w:divBdr>
        <w:top w:val="none" w:sz="0" w:space="0" w:color="auto"/>
        <w:left w:val="none" w:sz="0" w:space="0" w:color="auto"/>
        <w:bottom w:val="none" w:sz="0" w:space="0" w:color="auto"/>
        <w:right w:val="none" w:sz="0" w:space="0" w:color="auto"/>
      </w:divBdr>
    </w:div>
    <w:div w:id="1049307456">
      <w:marLeft w:val="0"/>
      <w:marRight w:val="0"/>
      <w:marTop w:val="0"/>
      <w:marBottom w:val="0"/>
      <w:divBdr>
        <w:top w:val="none" w:sz="0" w:space="0" w:color="auto"/>
        <w:left w:val="none" w:sz="0" w:space="0" w:color="auto"/>
        <w:bottom w:val="none" w:sz="0" w:space="0" w:color="auto"/>
        <w:right w:val="none" w:sz="0" w:space="0" w:color="auto"/>
      </w:divBdr>
    </w:div>
    <w:div w:id="1049307457">
      <w:marLeft w:val="0"/>
      <w:marRight w:val="0"/>
      <w:marTop w:val="0"/>
      <w:marBottom w:val="0"/>
      <w:divBdr>
        <w:top w:val="none" w:sz="0" w:space="0" w:color="auto"/>
        <w:left w:val="none" w:sz="0" w:space="0" w:color="auto"/>
        <w:bottom w:val="none" w:sz="0" w:space="0" w:color="auto"/>
        <w:right w:val="none" w:sz="0" w:space="0" w:color="auto"/>
      </w:divBdr>
    </w:div>
    <w:div w:id="1049307458">
      <w:marLeft w:val="0"/>
      <w:marRight w:val="0"/>
      <w:marTop w:val="0"/>
      <w:marBottom w:val="0"/>
      <w:divBdr>
        <w:top w:val="none" w:sz="0" w:space="0" w:color="auto"/>
        <w:left w:val="none" w:sz="0" w:space="0" w:color="auto"/>
        <w:bottom w:val="none" w:sz="0" w:space="0" w:color="auto"/>
        <w:right w:val="none" w:sz="0" w:space="0" w:color="auto"/>
      </w:divBdr>
    </w:div>
    <w:div w:id="1049307459">
      <w:marLeft w:val="0"/>
      <w:marRight w:val="0"/>
      <w:marTop w:val="0"/>
      <w:marBottom w:val="0"/>
      <w:divBdr>
        <w:top w:val="none" w:sz="0" w:space="0" w:color="auto"/>
        <w:left w:val="none" w:sz="0" w:space="0" w:color="auto"/>
        <w:bottom w:val="none" w:sz="0" w:space="0" w:color="auto"/>
        <w:right w:val="none" w:sz="0" w:space="0" w:color="auto"/>
      </w:divBdr>
    </w:div>
    <w:div w:id="1049307460">
      <w:marLeft w:val="0"/>
      <w:marRight w:val="0"/>
      <w:marTop w:val="0"/>
      <w:marBottom w:val="0"/>
      <w:divBdr>
        <w:top w:val="none" w:sz="0" w:space="0" w:color="auto"/>
        <w:left w:val="none" w:sz="0" w:space="0" w:color="auto"/>
        <w:bottom w:val="none" w:sz="0" w:space="0" w:color="auto"/>
        <w:right w:val="none" w:sz="0" w:space="0" w:color="auto"/>
      </w:divBdr>
    </w:div>
    <w:div w:id="1049307461">
      <w:marLeft w:val="0"/>
      <w:marRight w:val="0"/>
      <w:marTop w:val="0"/>
      <w:marBottom w:val="0"/>
      <w:divBdr>
        <w:top w:val="none" w:sz="0" w:space="0" w:color="auto"/>
        <w:left w:val="none" w:sz="0" w:space="0" w:color="auto"/>
        <w:bottom w:val="none" w:sz="0" w:space="0" w:color="auto"/>
        <w:right w:val="none" w:sz="0" w:space="0" w:color="auto"/>
      </w:divBdr>
    </w:div>
    <w:div w:id="1049307462">
      <w:marLeft w:val="0"/>
      <w:marRight w:val="0"/>
      <w:marTop w:val="0"/>
      <w:marBottom w:val="0"/>
      <w:divBdr>
        <w:top w:val="none" w:sz="0" w:space="0" w:color="auto"/>
        <w:left w:val="none" w:sz="0" w:space="0" w:color="auto"/>
        <w:bottom w:val="none" w:sz="0" w:space="0" w:color="auto"/>
        <w:right w:val="none" w:sz="0" w:space="0" w:color="auto"/>
      </w:divBdr>
    </w:div>
    <w:div w:id="1049307463">
      <w:marLeft w:val="0"/>
      <w:marRight w:val="0"/>
      <w:marTop w:val="0"/>
      <w:marBottom w:val="0"/>
      <w:divBdr>
        <w:top w:val="none" w:sz="0" w:space="0" w:color="auto"/>
        <w:left w:val="none" w:sz="0" w:space="0" w:color="auto"/>
        <w:bottom w:val="none" w:sz="0" w:space="0" w:color="auto"/>
        <w:right w:val="none" w:sz="0" w:space="0" w:color="auto"/>
      </w:divBdr>
    </w:div>
    <w:div w:id="1049307464">
      <w:marLeft w:val="0"/>
      <w:marRight w:val="0"/>
      <w:marTop w:val="0"/>
      <w:marBottom w:val="0"/>
      <w:divBdr>
        <w:top w:val="none" w:sz="0" w:space="0" w:color="auto"/>
        <w:left w:val="none" w:sz="0" w:space="0" w:color="auto"/>
        <w:bottom w:val="none" w:sz="0" w:space="0" w:color="auto"/>
        <w:right w:val="none" w:sz="0" w:space="0" w:color="auto"/>
      </w:divBdr>
    </w:div>
    <w:div w:id="1049307465">
      <w:marLeft w:val="0"/>
      <w:marRight w:val="0"/>
      <w:marTop w:val="0"/>
      <w:marBottom w:val="0"/>
      <w:divBdr>
        <w:top w:val="none" w:sz="0" w:space="0" w:color="auto"/>
        <w:left w:val="none" w:sz="0" w:space="0" w:color="auto"/>
        <w:bottom w:val="none" w:sz="0" w:space="0" w:color="auto"/>
        <w:right w:val="none" w:sz="0" w:space="0" w:color="auto"/>
      </w:divBdr>
    </w:div>
    <w:div w:id="1049307466">
      <w:marLeft w:val="0"/>
      <w:marRight w:val="0"/>
      <w:marTop w:val="0"/>
      <w:marBottom w:val="0"/>
      <w:divBdr>
        <w:top w:val="none" w:sz="0" w:space="0" w:color="auto"/>
        <w:left w:val="none" w:sz="0" w:space="0" w:color="auto"/>
        <w:bottom w:val="none" w:sz="0" w:space="0" w:color="auto"/>
        <w:right w:val="none" w:sz="0" w:space="0" w:color="auto"/>
      </w:divBdr>
    </w:div>
    <w:div w:id="1049307467">
      <w:marLeft w:val="0"/>
      <w:marRight w:val="0"/>
      <w:marTop w:val="0"/>
      <w:marBottom w:val="0"/>
      <w:divBdr>
        <w:top w:val="none" w:sz="0" w:space="0" w:color="auto"/>
        <w:left w:val="none" w:sz="0" w:space="0" w:color="auto"/>
        <w:bottom w:val="none" w:sz="0" w:space="0" w:color="auto"/>
        <w:right w:val="none" w:sz="0" w:space="0" w:color="auto"/>
      </w:divBdr>
    </w:div>
    <w:div w:id="1049307468">
      <w:marLeft w:val="0"/>
      <w:marRight w:val="0"/>
      <w:marTop w:val="0"/>
      <w:marBottom w:val="0"/>
      <w:divBdr>
        <w:top w:val="none" w:sz="0" w:space="0" w:color="auto"/>
        <w:left w:val="none" w:sz="0" w:space="0" w:color="auto"/>
        <w:bottom w:val="none" w:sz="0" w:space="0" w:color="auto"/>
        <w:right w:val="none" w:sz="0" w:space="0" w:color="auto"/>
      </w:divBdr>
    </w:div>
    <w:div w:id="1049307469">
      <w:marLeft w:val="0"/>
      <w:marRight w:val="0"/>
      <w:marTop w:val="0"/>
      <w:marBottom w:val="0"/>
      <w:divBdr>
        <w:top w:val="none" w:sz="0" w:space="0" w:color="auto"/>
        <w:left w:val="none" w:sz="0" w:space="0" w:color="auto"/>
        <w:bottom w:val="none" w:sz="0" w:space="0" w:color="auto"/>
        <w:right w:val="none" w:sz="0" w:space="0" w:color="auto"/>
      </w:divBdr>
    </w:div>
    <w:div w:id="1049307470">
      <w:marLeft w:val="0"/>
      <w:marRight w:val="0"/>
      <w:marTop w:val="0"/>
      <w:marBottom w:val="0"/>
      <w:divBdr>
        <w:top w:val="none" w:sz="0" w:space="0" w:color="auto"/>
        <w:left w:val="none" w:sz="0" w:space="0" w:color="auto"/>
        <w:bottom w:val="none" w:sz="0" w:space="0" w:color="auto"/>
        <w:right w:val="none" w:sz="0" w:space="0" w:color="auto"/>
      </w:divBdr>
    </w:div>
    <w:div w:id="1049307471">
      <w:marLeft w:val="0"/>
      <w:marRight w:val="0"/>
      <w:marTop w:val="0"/>
      <w:marBottom w:val="0"/>
      <w:divBdr>
        <w:top w:val="none" w:sz="0" w:space="0" w:color="auto"/>
        <w:left w:val="none" w:sz="0" w:space="0" w:color="auto"/>
        <w:bottom w:val="none" w:sz="0" w:space="0" w:color="auto"/>
        <w:right w:val="none" w:sz="0" w:space="0" w:color="auto"/>
      </w:divBdr>
    </w:div>
    <w:div w:id="1049307472">
      <w:marLeft w:val="0"/>
      <w:marRight w:val="0"/>
      <w:marTop w:val="0"/>
      <w:marBottom w:val="0"/>
      <w:divBdr>
        <w:top w:val="none" w:sz="0" w:space="0" w:color="auto"/>
        <w:left w:val="none" w:sz="0" w:space="0" w:color="auto"/>
        <w:bottom w:val="none" w:sz="0" w:space="0" w:color="auto"/>
        <w:right w:val="none" w:sz="0" w:space="0" w:color="auto"/>
      </w:divBdr>
    </w:div>
    <w:div w:id="1049307473">
      <w:marLeft w:val="0"/>
      <w:marRight w:val="0"/>
      <w:marTop w:val="0"/>
      <w:marBottom w:val="0"/>
      <w:divBdr>
        <w:top w:val="none" w:sz="0" w:space="0" w:color="auto"/>
        <w:left w:val="none" w:sz="0" w:space="0" w:color="auto"/>
        <w:bottom w:val="none" w:sz="0" w:space="0" w:color="auto"/>
        <w:right w:val="none" w:sz="0" w:space="0" w:color="auto"/>
      </w:divBdr>
    </w:div>
    <w:div w:id="1049307474">
      <w:marLeft w:val="0"/>
      <w:marRight w:val="0"/>
      <w:marTop w:val="0"/>
      <w:marBottom w:val="0"/>
      <w:divBdr>
        <w:top w:val="none" w:sz="0" w:space="0" w:color="auto"/>
        <w:left w:val="none" w:sz="0" w:space="0" w:color="auto"/>
        <w:bottom w:val="none" w:sz="0" w:space="0" w:color="auto"/>
        <w:right w:val="none" w:sz="0" w:space="0" w:color="auto"/>
      </w:divBdr>
    </w:div>
    <w:div w:id="1049307475">
      <w:marLeft w:val="0"/>
      <w:marRight w:val="0"/>
      <w:marTop w:val="0"/>
      <w:marBottom w:val="0"/>
      <w:divBdr>
        <w:top w:val="none" w:sz="0" w:space="0" w:color="auto"/>
        <w:left w:val="none" w:sz="0" w:space="0" w:color="auto"/>
        <w:bottom w:val="none" w:sz="0" w:space="0" w:color="auto"/>
        <w:right w:val="none" w:sz="0" w:space="0" w:color="auto"/>
      </w:divBdr>
    </w:div>
    <w:div w:id="1049307476">
      <w:marLeft w:val="0"/>
      <w:marRight w:val="0"/>
      <w:marTop w:val="0"/>
      <w:marBottom w:val="0"/>
      <w:divBdr>
        <w:top w:val="none" w:sz="0" w:space="0" w:color="auto"/>
        <w:left w:val="none" w:sz="0" w:space="0" w:color="auto"/>
        <w:bottom w:val="none" w:sz="0" w:space="0" w:color="auto"/>
        <w:right w:val="none" w:sz="0" w:space="0" w:color="auto"/>
      </w:divBdr>
    </w:div>
    <w:div w:id="1049307477">
      <w:marLeft w:val="0"/>
      <w:marRight w:val="0"/>
      <w:marTop w:val="0"/>
      <w:marBottom w:val="0"/>
      <w:divBdr>
        <w:top w:val="none" w:sz="0" w:space="0" w:color="auto"/>
        <w:left w:val="none" w:sz="0" w:space="0" w:color="auto"/>
        <w:bottom w:val="none" w:sz="0" w:space="0" w:color="auto"/>
        <w:right w:val="none" w:sz="0" w:space="0" w:color="auto"/>
      </w:divBdr>
    </w:div>
    <w:div w:id="1049307478">
      <w:marLeft w:val="0"/>
      <w:marRight w:val="0"/>
      <w:marTop w:val="0"/>
      <w:marBottom w:val="0"/>
      <w:divBdr>
        <w:top w:val="none" w:sz="0" w:space="0" w:color="auto"/>
        <w:left w:val="none" w:sz="0" w:space="0" w:color="auto"/>
        <w:bottom w:val="none" w:sz="0" w:space="0" w:color="auto"/>
        <w:right w:val="none" w:sz="0" w:space="0" w:color="auto"/>
      </w:divBdr>
    </w:div>
    <w:div w:id="1049307479">
      <w:marLeft w:val="0"/>
      <w:marRight w:val="0"/>
      <w:marTop w:val="0"/>
      <w:marBottom w:val="0"/>
      <w:divBdr>
        <w:top w:val="none" w:sz="0" w:space="0" w:color="auto"/>
        <w:left w:val="none" w:sz="0" w:space="0" w:color="auto"/>
        <w:bottom w:val="none" w:sz="0" w:space="0" w:color="auto"/>
        <w:right w:val="none" w:sz="0" w:space="0" w:color="auto"/>
      </w:divBdr>
    </w:div>
    <w:div w:id="1049307480">
      <w:marLeft w:val="0"/>
      <w:marRight w:val="0"/>
      <w:marTop w:val="0"/>
      <w:marBottom w:val="0"/>
      <w:divBdr>
        <w:top w:val="none" w:sz="0" w:space="0" w:color="auto"/>
        <w:left w:val="none" w:sz="0" w:space="0" w:color="auto"/>
        <w:bottom w:val="none" w:sz="0" w:space="0" w:color="auto"/>
        <w:right w:val="none" w:sz="0" w:space="0" w:color="auto"/>
      </w:divBdr>
    </w:div>
    <w:div w:id="1049307481">
      <w:marLeft w:val="0"/>
      <w:marRight w:val="0"/>
      <w:marTop w:val="0"/>
      <w:marBottom w:val="0"/>
      <w:divBdr>
        <w:top w:val="none" w:sz="0" w:space="0" w:color="auto"/>
        <w:left w:val="none" w:sz="0" w:space="0" w:color="auto"/>
        <w:bottom w:val="none" w:sz="0" w:space="0" w:color="auto"/>
        <w:right w:val="none" w:sz="0" w:space="0" w:color="auto"/>
      </w:divBdr>
    </w:div>
    <w:div w:id="1049307482">
      <w:marLeft w:val="0"/>
      <w:marRight w:val="0"/>
      <w:marTop w:val="0"/>
      <w:marBottom w:val="0"/>
      <w:divBdr>
        <w:top w:val="none" w:sz="0" w:space="0" w:color="auto"/>
        <w:left w:val="none" w:sz="0" w:space="0" w:color="auto"/>
        <w:bottom w:val="none" w:sz="0" w:space="0" w:color="auto"/>
        <w:right w:val="none" w:sz="0" w:space="0" w:color="auto"/>
      </w:divBdr>
    </w:div>
    <w:div w:id="1049307483">
      <w:marLeft w:val="0"/>
      <w:marRight w:val="0"/>
      <w:marTop w:val="0"/>
      <w:marBottom w:val="0"/>
      <w:divBdr>
        <w:top w:val="none" w:sz="0" w:space="0" w:color="auto"/>
        <w:left w:val="none" w:sz="0" w:space="0" w:color="auto"/>
        <w:bottom w:val="none" w:sz="0" w:space="0" w:color="auto"/>
        <w:right w:val="none" w:sz="0" w:space="0" w:color="auto"/>
      </w:divBdr>
    </w:div>
    <w:div w:id="1049307484">
      <w:marLeft w:val="0"/>
      <w:marRight w:val="0"/>
      <w:marTop w:val="0"/>
      <w:marBottom w:val="0"/>
      <w:divBdr>
        <w:top w:val="none" w:sz="0" w:space="0" w:color="auto"/>
        <w:left w:val="none" w:sz="0" w:space="0" w:color="auto"/>
        <w:bottom w:val="none" w:sz="0" w:space="0" w:color="auto"/>
        <w:right w:val="none" w:sz="0" w:space="0" w:color="auto"/>
      </w:divBdr>
    </w:div>
    <w:div w:id="1049307485">
      <w:marLeft w:val="0"/>
      <w:marRight w:val="0"/>
      <w:marTop w:val="0"/>
      <w:marBottom w:val="0"/>
      <w:divBdr>
        <w:top w:val="none" w:sz="0" w:space="0" w:color="auto"/>
        <w:left w:val="none" w:sz="0" w:space="0" w:color="auto"/>
        <w:bottom w:val="none" w:sz="0" w:space="0" w:color="auto"/>
        <w:right w:val="none" w:sz="0" w:space="0" w:color="auto"/>
      </w:divBdr>
    </w:div>
    <w:div w:id="1049307486">
      <w:marLeft w:val="0"/>
      <w:marRight w:val="0"/>
      <w:marTop w:val="0"/>
      <w:marBottom w:val="0"/>
      <w:divBdr>
        <w:top w:val="none" w:sz="0" w:space="0" w:color="auto"/>
        <w:left w:val="none" w:sz="0" w:space="0" w:color="auto"/>
        <w:bottom w:val="none" w:sz="0" w:space="0" w:color="auto"/>
        <w:right w:val="none" w:sz="0" w:space="0" w:color="auto"/>
      </w:divBdr>
    </w:div>
    <w:div w:id="1049307487">
      <w:marLeft w:val="0"/>
      <w:marRight w:val="0"/>
      <w:marTop w:val="0"/>
      <w:marBottom w:val="0"/>
      <w:divBdr>
        <w:top w:val="none" w:sz="0" w:space="0" w:color="auto"/>
        <w:left w:val="none" w:sz="0" w:space="0" w:color="auto"/>
        <w:bottom w:val="none" w:sz="0" w:space="0" w:color="auto"/>
        <w:right w:val="none" w:sz="0" w:space="0" w:color="auto"/>
      </w:divBdr>
    </w:div>
    <w:div w:id="1049307488">
      <w:marLeft w:val="0"/>
      <w:marRight w:val="0"/>
      <w:marTop w:val="0"/>
      <w:marBottom w:val="0"/>
      <w:divBdr>
        <w:top w:val="none" w:sz="0" w:space="0" w:color="auto"/>
        <w:left w:val="none" w:sz="0" w:space="0" w:color="auto"/>
        <w:bottom w:val="none" w:sz="0" w:space="0" w:color="auto"/>
        <w:right w:val="none" w:sz="0" w:space="0" w:color="auto"/>
      </w:divBdr>
    </w:div>
    <w:div w:id="1049307489">
      <w:marLeft w:val="0"/>
      <w:marRight w:val="0"/>
      <w:marTop w:val="0"/>
      <w:marBottom w:val="0"/>
      <w:divBdr>
        <w:top w:val="none" w:sz="0" w:space="0" w:color="auto"/>
        <w:left w:val="none" w:sz="0" w:space="0" w:color="auto"/>
        <w:bottom w:val="none" w:sz="0" w:space="0" w:color="auto"/>
        <w:right w:val="none" w:sz="0" w:space="0" w:color="auto"/>
      </w:divBdr>
    </w:div>
    <w:div w:id="1049307490">
      <w:marLeft w:val="0"/>
      <w:marRight w:val="0"/>
      <w:marTop w:val="0"/>
      <w:marBottom w:val="0"/>
      <w:divBdr>
        <w:top w:val="none" w:sz="0" w:space="0" w:color="auto"/>
        <w:left w:val="none" w:sz="0" w:space="0" w:color="auto"/>
        <w:bottom w:val="none" w:sz="0" w:space="0" w:color="auto"/>
        <w:right w:val="none" w:sz="0" w:space="0" w:color="auto"/>
      </w:divBdr>
    </w:div>
    <w:div w:id="1049307491">
      <w:marLeft w:val="0"/>
      <w:marRight w:val="0"/>
      <w:marTop w:val="0"/>
      <w:marBottom w:val="0"/>
      <w:divBdr>
        <w:top w:val="none" w:sz="0" w:space="0" w:color="auto"/>
        <w:left w:val="none" w:sz="0" w:space="0" w:color="auto"/>
        <w:bottom w:val="none" w:sz="0" w:space="0" w:color="auto"/>
        <w:right w:val="none" w:sz="0" w:space="0" w:color="auto"/>
      </w:divBdr>
    </w:div>
    <w:div w:id="1049307492">
      <w:marLeft w:val="0"/>
      <w:marRight w:val="0"/>
      <w:marTop w:val="0"/>
      <w:marBottom w:val="0"/>
      <w:divBdr>
        <w:top w:val="none" w:sz="0" w:space="0" w:color="auto"/>
        <w:left w:val="none" w:sz="0" w:space="0" w:color="auto"/>
        <w:bottom w:val="none" w:sz="0" w:space="0" w:color="auto"/>
        <w:right w:val="none" w:sz="0" w:space="0" w:color="auto"/>
      </w:divBdr>
    </w:div>
    <w:div w:id="1049307493">
      <w:marLeft w:val="0"/>
      <w:marRight w:val="0"/>
      <w:marTop w:val="0"/>
      <w:marBottom w:val="0"/>
      <w:divBdr>
        <w:top w:val="none" w:sz="0" w:space="0" w:color="auto"/>
        <w:left w:val="none" w:sz="0" w:space="0" w:color="auto"/>
        <w:bottom w:val="none" w:sz="0" w:space="0" w:color="auto"/>
        <w:right w:val="none" w:sz="0" w:space="0" w:color="auto"/>
      </w:divBdr>
    </w:div>
    <w:div w:id="1049307494">
      <w:marLeft w:val="0"/>
      <w:marRight w:val="0"/>
      <w:marTop w:val="0"/>
      <w:marBottom w:val="0"/>
      <w:divBdr>
        <w:top w:val="none" w:sz="0" w:space="0" w:color="auto"/>
        <w:left w:val="none" w:sz="0" w:space="0" w:color="auto"/>
        <w:bottom w:val="none" w:sz="0" w:space="0" w:color="auto"/>
        <w:right w:val="none" w:sz="0" w:space="0" w:color="auto"/>
      </w:divBdr>
    </w:div>
    <w:div w:id="1049307495">
      <w:marLeft w:val="0"/>
      <w:marRight w:val="0"/>
      <w:marTop w:val="0"/>
      <w:marBottom w:val="0"/>
      <w:divBdr>
        <w:top w:val="none" w:sz="0" w:space="0" w:color="auto"/>
        <w:left w:val="none" w:sz="0" w:space="0" w:color="auto"/>
        <w:bottom w:val="none" w:sz="0" w:space="0" w:color="auto"/>
        <w:right w:val="none" w:sz="0" w:space="0" w:color="auto"/>
      </w:divBdr>
    </w:div>
    <w:div w:id="1049307496">
      <w:marLeft w:val="0"/>
      <w:marRight w:val="0"/>
      <w:marTop w:val="0"/>
      <w:marBottom w:val="0"/>
      <w:divBdr>
        <w:top w:val="none" w:sz="0" w:space="0" w:color="auto"/>
        <w:left w:val="none" w:sz="0" w:space="0" w:color="auto"/>
        <w:bottom w:val="none" w:sz="0" w:space="0" w:color="auto"/>
        <w:right w:val="none" w:sz="0" w:space="0" w:color="auto"/>
      </w:divBdr>
    </w:div>
    <w:div w:id="1049307497">
      <w:marLeft w:val="0"/>
      <w:marRight w:val="0"/>
      <w:marTop w:val="0"/>
      <w:marBottom w:val="0"/>
      <w:divBdr>
        <w:top w:val="none" w:sz="0" w:space="0" w:color="auto"/>
        <w:left w:val="none" w:sz="0" w:space="0" w:color="auto"/>
        <w:bottom w:val="none" w:sz="0" w:space="0" w:color="auto"/>
        <w:right w:val="none" w:sz="0" w:space="0" w:color="auto"/>
      </w:divBdr>
    </w:div>
    <w:div w:id="1049307498">
      <w:marLeft w:val="0"/>
      <w:marRight w:val="0"/>
      <w:marTop w:val="0"/>
      <w:marBottom w:val="0"/>
      <w:divBdr>
        <w:top w:val="none" w:sz="0" w:space="0" w:color="auto"/>
        <w:left w:val="none" w:sz="0" w:space="0" w:color="auto"/>
        <w:bottom w:val="none" w:sz="0" w:space="0" w:color="auto"/>
        <w:right w:val="none" w:sz="0" w:space="0" w:color="auto"/>
      </w:divBdr>
    </w:div>
    <w:div w:id="1049307499">
      <w:marLeft w:val="0"/>
      <w:marRight w:val="0"/>
      <w:marTop w:val="0"/>
      <w:marBottom w:val="0"/>
      <w:divBdr>
        <w:top w:val="none" w:sz="0" w:space="0" w:color="auto"/>
        <w:left w:val="none" w:sz="0" w:space="0" w:color="auto"/>
        <w:bottom w:val="none" w:sz="0" w:space="0" w:color="auto"/>
        <w:right w:val="none" w:sz="0" w:space="0" w:color="auto"/>
      </w:divBdr>
    </w:div>
    <w:div w:id="1049307500">
      <w:marLeft w:val="0"/>
      <w:marRight w:val="0"/>
      <w:marTop w:val="0"/>
      <w:marBottom w:val="0"/>
      <w:divBdr>
        <w:top w:val="none" w:sz="0" w:space="0" w:color="auto"/>
        <w:left w:val="none" w:sz="0" w:space="0" w:color="auto"/>
        <w:bottom w:val="none" w:sz="0" w:space="0" w:color="auto"/>
        <w:right w:val="none" w:sz="0" w:space="0" w:color="auto"/>
      </w:divBdr>
    </w:div>
    <w:div w:id="1049307501">
      <w:marLeft w:val="0"/>
      <w:marRight w:val="0"/>
      <w:marTop w:val="0"/>
      <w:marBottom w:val="0"/>
      <w:divBdr>
        <w:top w:val="none" w:sz="0" w:space="0" w:color="auto"/>
        <w:left w:val="none" w:sz="0" w:space="0" w:color="auto"/>
        <w:bottom w:val="none" w:sz="0" w:space="0" w:color="auto"/>
        <w:right w:val="none" w:sz="0" w:space="0" w:color="auto"/>
      </w:divBdr>
    </w:div>
    <w:div w:id="1049307502">
      <w:marLeft w:val="0"/>
      <w:marRight w:val="0"/>
      <w:marTop w:val="0"/>
      <w:marBottom w:val="0"/>
      <w:divBdr>
        <w:top w:val="none" w:sz="0" w:space="0" w:color="auto"/>
        <w:left w:val="none" w:sz="0" w:space="0" w:color="auto"/>
        <w:bottom w:val="none" w:sz="0" w:space="0" w:color="auto"/>
        <w:right w:val="none" w:sz="0" w:space="0" w:color="auto"/>
      </w:divBdr>
    </w:div>
    <w:div w:id="1049307503">
      <w:marLeft w:val="0"/>
      <w:marRight w:val="0"/>
      <w:marTop w:val="0"/>
      <w:marBottom w:val="0"/>
      <w:divBdr>
        <w:top w:val="none" w:sz="0" w:space="0" w:color="auto"/>
        <w:left w:val="none" w:sz="0" w:space="0" w:color="auto"/>
        <w:bottom w:val="none" w:sz="0" w:space="0" w:color="auto"/>
        <w:right w:val="none" w:sz="0" w:space="0" w:color="auto"/>
      </w:divBdr>
    </w:div>
    <w:div w:id="1049307504">
      <w:marLeft w:val="0"/>
      <w:marRight w:val="0"/>
      <w:marTop w:val="0"/>
      <w:marBottom w:val="0"/>
      <w:divBdr>
        <w:top w:val="none" w:sz="0" w:space="0" w:color="auto"/>
        <w:left w:val="none" w:sz="0" w:space="0" w:color="auto"/>
        <w:bottom w:val="none" w:sz="0" w:space="0" w:color="auto"/>
        <w:right w:val="none" w:sz="0" w:space="0" w:color="auto"/>
      </w:divBdr>
    </w:div>
    <w:div w:id="1049307505">
      <w:marLeft w:val="0"/>
      <w:marRight w:val="0"/>
      <w:marTop w:val="0"/>
      <w:marBottom w:val="0"/>
      <w:divBdr>
        <w:top w:val="none" w:sz="0" w:space="0" w:color="auto"/>
        <w:left w:val="none" w:sz="0" w:space="0" w:color="auto"/>
        <w:bottom w:val="none" w:sz="0" w:space="0" w:color="auto"/>
        <w:right w:val="none" w:sz="0" w:space="0" w:color="auto"/>
      </w:divBdr>
    </w:div>
    <w:div w:id="1049307506">
      <w:marLeft w:val="0"/>
      <w:marRight w:val="0"/>
      <w:marTop w:val="0"/>
      <w:marBottom w:val="0"/>
      <w:divBdr>
        <w:top w:val="none" w:sz="0" w:space="0" w:color="auto"/>
        <w:left w:val="none" w:sz="0" w:space="0" w:color="auto"/>
        <w:bottom w:val="none" w:sz="0" w:space="0" w:color="auto"/>
        <w:right w:val="none" w:sz="0" w:space="0" w:color="auto"/>
      </w:divBdr>
    </w:div>
    <w:div w:id="10493075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B8755B2A363781A1B1CFF04064C1BF9C4EECD5B270B536DE8D0D119AAN3qEJ" TargetMode="External"/><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3B8755B2A363781A1B1CFF04064C1BF9C4EBC1592509536DE8D0D119AAN3qEJ"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3B8755B2A363781A1B1CFF04064C1BF9C4EBC15D260C536DE8D0D119AAN3qEJ" TargetMode="External"/><Relationship Id="rId11" Type="http://schemas.openxmlformats.org/officeDocument/2006/relationships/image" Target="media/image3.jpeg"/><Relationship Id="rId5" Type="http://schemas.openxmlformats.org/officeDocument/2006/relationships/hyperlink" Target="consultantplus://offline/ref=3B8755B2A363781A1B1CFF04064C1BF9C4EBC9592C0B536DE8D0D119AAN3qEJ" TargetMode="External"/><Relationship Id="rId15" Type="http://schemas.openxmlformats.org/officeDocument/2006/relationships/hyperlink" Target="http://www.nakarte.ru/" TargetMode="External"/><Relationship Id="rId10" Type="http://schemas.openxmlformats.org/officeDocument/2006/relationships/image" Target="media/image2.jpeg"/><Relationship Id="rId19" Type="http://schemas.openxmlformats.org/officeDocument/2006/relationships/hyperlink" Target="consultantplus://offline/ref=9E2794078D037B390CF3125C29A0C346D5AEA30B3FBD7006AC9B195954E5DDBE292D9882EB38AF6F1856A9E1UF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consultantplus://offline/ref=9E2794078D037B390CF3125C29A0C346D5AEA30B3FBD7006AC9B195954E5DDBE292D9882EB38AF6F1856A9E1UF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2798</TotalTime>
  <Pages>80</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58</cp:revision>
  <cp:lastPrinted>2016-03-31T10:42:00Z</cp:lastPrinted>
  <dcterms:created xsi:type="dcterms:W3CDTF">2015-01-12T03:34:00Z</dcterms:created>
  <dcterms:modified xsi:type="dcterms:W3CDTF">2019-11-22T04:35:00Z</dcterms:modified>
</cp:coreProperties>
</file>