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00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2E77DC" w:rsidRPr="005F684B" w:rsidRDefault="00A76B00" w:rsidP="002E77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для проекта акта низкой степени регулирующего воздействия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2E77DC" w:rsidRPr="005F684B" w:rsidRDefault="00A76B00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Волчанского городского округа «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из бюджета Волчанского городского округа на капитальный ремонт общего имущества многоквартирных жилых домов на территории Волчанского городского округа на 2017 год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2E77DC" w:rsidRPr="005F684B" w:rsidRDefault="000C553D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C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2E77DC" w:rsidRPr="005F684B" w:rsidRDefault="00792E8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792E8C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2E77DC" w:rsidRDefault="00BD7C08" w:rsidP="00BD7C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92E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BD7C08" w:rsidRPr="005F684B" w:rsidRDefault="00BD7C08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Определение основ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на капитальный ремонт 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установления гарантий прав и законных интересов сторон соглашения.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792E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  <w:p w:rsidR="00234D3B" w:rsidRDefault="00234D3B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предпринимательской и иной экономической деятельности.</w:t>
            </w:r>
          </w:p>
          <w:p w:rsidR="009A066A" w:rsidRPr="005F684B" w:rsidRDefault="00232E18" w:rsidP="00232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 не содержит положений, предусмотренных подпунктами 1 и 2 Порядка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232E18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Волчанского городского</w:t>
            </w:r>
            <w:proofErr w:type="gramEnd"/>
            <w:r w:rsidRPr="00232E1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постановлением главы Волчанского городского округа от 16.09.2015 года № 671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1.6.3. Сроки проведения публичных консультаций проекта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32E18" w:rsidRPr="005F684B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232E18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2E77DC" w:rsidRPr="005F684B" w:rsidTr="00792E8C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0C553D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Симонова Татьяна Валерьевна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 Начальник финансового отдела администрации Волчанского городского округа</w:t>
            </w:r>
          </w:p>
          <w:p w:rsidR="000C553D" w:rsidRDefault="000C553D" w:rsidP="000C5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(34383) 5-20-33</w:t>
            </w:r>
          </w:p>
          <w:p w:rsidR="002E77DC" w:rsidRPr="005F684B" w:rsidRDefault="000C553D" w:rsidP="000C5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Pr="005A5459">
              <w:rPr>
                <w:rFonts w:ascii="Times New Roman" w:hAnsi="Times New Roman" w:cs="Times New Roman"/>
                <w:sz w:val="28"/>
                <w:szCs w:val="28"/>
              </w:rPr>
              <w:t>fin-volchansk@mail.ru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lastRenderedPageBreak/>
        <w:t>установленным нормативным правовым актом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2E77DC" w:rsidRPr="005F684B" w:rsidTr="00232E18">
        <w:tc>
          <w:tcPr>
            <w:tcW w:w="255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232E18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ВГО и администрация ВГО;</w:t>
            </w:r>
          </w:p>
          <w:p w:rsidR="00234D3B" w:rsidRPr="005F684B" w:rsidRDefault="00234D3B" w:rsidP="00AD6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партнеры</w:t>
            </w:r>
          </w:p>
        </w:tc>
        <w:tc>
          <w:tcPr>
            <w:tcW w:w="3118" w:type="dxa"/>
          </w:tcPr>
          <w:p w:rsidR="00232E18" w:rsidRPr="005F684B" w:rsidRDefault="002E77DC" w:rsidP="00234D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</w:t>
            </w:r>
            <w:r w:rsidR="00AD6B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4D3B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3912" w:type="dxa"/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нет данных</w:t>
            </w:r>
          </w:p>
          <w:p w:rsidR="00251ED1" w:rsidRPr="005F684B" w:rsidRDefault="00251ED1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232E18">
        <w:tc>
          <w:tcPr>
            <w:tcW w:w="9582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2E77DC" w:rsidRPr="005F684B" w:rsidRDefault="000C553D" w:rsidP="00251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  <w:r w:rsidR="00251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77DC" w:rsidRPr="005F684B" w:rsidRDefault="002E77DC" w:rsidP="00997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2E77DC" w:rsidRPr="005F684B" w:rsidRDefault="002E77DC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251ED1" w:rsidRDefault="002E77DC" w:rsidP="0025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2E77DC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необходимостью проведения капитальных ремонтов многоквартирных жилых домов и недостатков денежных средств на данные виды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разработке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 из бюджета Волчанского городского округа на капитальный ремонт общего имущества многоквартирных жилых домов на территории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определяющего основы правового регулирования отношений, возникающих в связи с подготовкой проекта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заключением, исполнением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прекращением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 на капитальный ремонт 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устанавливающего гарантии прав и законных интересов сторон соглашения.</w:t>
            </w:r>
          </w:p>
          <w:p w:rsidR="006862B0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эффекты:</w:t>
            </w:r>
          </w:p>
          <w:p w:rsidR="006862B0" w:rsidRPr="005F684B" w:rsidRDefault="006862B0" w:rsidP="006862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механизма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бюджета Волчанского городского округа на капитальный ремонт общего имущества 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E70D1A" w:rsidRPr="005F684B" w:rsidRDefault="000C553D" w:rsidP="006862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способ правового регулирования является оптимальным и эффективным для достижения целей правового регулирования.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Описание взаимосвязи решения проблемы и преодоления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8131F3" w:rsidRDefault="002E77DC" w:rsidP="008131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</w:p>
          <w:p w:rsidR="002E77DC" w:rsidRPr="005F684B" w:rsidRDefault="00E70D1A" w:rsidP="000C55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</w:t>
            </w:r>
            <w:r w:rsidR="000C553D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 на проведение капитального ремонта общего имущества 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2E77DC" w:rsidRPr="005F684B" w:rsidRDefault="000C553D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округа.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2E77DC" w:rsidRPr="009E3CCA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2E77DC" w:rsidRPr="005F684B" w:rsidTr="00792E8C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AC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8E">
              <w:rPr>
                <w:rFonts w:ascii="Times New Roman" w:hAnsi="Times New Roman" w:cs="Times New Roman"/>
                <w:sz w:val="28"/>
                <w:szCs w:val="28"/>
              </w:rPr>
              <w:t>администрация Волчанского городского округа</w:t>
            </w:r>
          </w:p>
        </w:tc>
      </w:tr>
      <w:tr w:rsidR="002E77DC" w:rsidRPr="005F684B" w:rsidTr="00792E8C">
        <w:tc>
          <w:tcPr>
            <w:tcW w:w="3231" w:type="dxa"/>
            <w:vMerge w:val="restart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2E77DC" w:rsidRPr="005F684B" w:rsidRDefault="00E70D1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полномочия, предусмотренные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Уставом Волчанского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 w:val="restart"/>
          </w:tcPr>
          <w:p w:rsidR="00534C8E" w:rsidRPr="005F684B" w:rsidRDefault="0086045E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отсутствует</w:t>
            </w:r>
          </w:p>
        </w:tc>
      </w:tr>
      <w:tr w:rsidR="002E77DC" w:rsidRPr="005F684B" w:rsidTr="00792E8C">
        <w:tc>
          <w:tcPr>
            <w:tcW w:w="3231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2E77DC" w:rsidRPr="005F684B" w:rsidRDefault="002E77DC" w:rsidP="008604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поступлений: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принимаемым актом</w:t>
            </w:r>
          </w:p>
        </w:tc>
        <w:tc>
          <w:tcPr>
            <w:tcW w:w="317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4.4. Итого расходы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534C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2E77DC" w:rsidRPr="005F684B" w:rsidRDefault="0086045E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2E77DC" w:rsidRPr="005F684B" w:rsidRDefault="002E77DC" w:rsidP="00203634">
            <w:pPr>
              <w:pStyle w:val="ConsPlusNormal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7DC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Default="00203634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34" w:rsidRPr="005F684B" w:rsidRDefault="0086045E" w:rsidP="002036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6289" w:type="dxa"/>
            <w:gridSpan w:val="3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2E77DC" w:rsidRPr="005F684B" w:rsidRDefault="00203634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9463" w:type="dxa"/>
            <w:gridSpan w:val="4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2E77DC" w:rsidRPr="005F684B" w:rsidRDefault="009F64F1" w:rsidP="002036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2E77DC" w:rsidRPr="0048119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2E77DC" w:rsidRPr="005F684B" w:rsidTr="00792E8C">
        <w:tc>
          <w:tcPr>
            <w:tcW w:w="2324" w:type="dxa"/>
            <w:vMerge w:val="restart"/>
          </w:tcPr>
          <w:p w:rsidR="002E77DC" w:rsidRPr="005F684B" w:rsidRDefault="009F64F1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Партнеры </w:t>
            </w:r>
            <w:r w:rsidR="0086045E">
              <w:rPr>
                <w:rFonts w:ascii="Times New Roman" w:hAnsi="Times New Roman" w:cs="Times New Roman"/>
                <w:sz w:val="28"/>
                <w:szCs w:val="28"/>
              </w:rPr>
              <w:t xml:space="preserve">должны оценить  финансовые риски и возможности, претендуя на заключение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</w:t>
            </w:r>
            <w:r w:rsidR="005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vMerge w:val="restart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партнеры</w:t>
            </w:r>
          </w:p>
        </w:tc>
        <w:tc>
          <w:tcPr>
            <w:tcW w:w="2324" w:type="dxa"/>
          </w:tcPr>
          <w:p w:rsidR="002E77DC" w:rsidRPr="008A6F32" w:rsidRDefault="0086045E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общего имущества многоквартирных жилых домов</w:t>
            </w:r>
          </w:p>
        </w:tc>
        <w:tc>
          <w:tcPr>
            <w:tcW w:w="2495" w:type="dxa"/>
          </w:tcPr>
          <w:p w:rsidR="002E77DC" w:rsidRPr="005F684B" w:rsidRDefault="0086045E" w:rsidP="0053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E77DC" w:rsidRPr="005F684B" w:rsidTr="00792E8C">
        <w:tc>
          <w:tcPr>
            <w:tcW w:w="2324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E77DC" w:rsidRPr="005F684B" w:rsidRDefault="002E77DC" w:rsidP="00792E8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6146C2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:rsidR="002E77DC" w:rsidRPr="005F684B" w:rsidRDefault="002E77DC" w:rsidP="00792E8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7086" w:type="dxa"/>
            <w:gridSpan w:val="3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2E77DC" w:rsidRPr="005F684B" w:rsidRDefault="0086045E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общего имущества многоквартирных жилых домов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2E77DC" w:rsidRPr="005F684B" w:rsidRDefault="0086045E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общего имущества многоквартирных жилых домов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2E77DC" w:rsidRPr="005F684B" w:rsidRDefault="00534952" w:rsidP="008604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2E77DC" w:rsidRPr="005F684B" w:rsidRDefault="009F64F1" w:rsidP="00534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2E77DC" w:rsidRPr="005F684B" w:rsidTr="00792E8C"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2E77DC" w:rsidRPr="005F684B" w:rsidTr="00792E8C">
        <w:tc>
          <w:tcPr>
            <w:tcW w:w="2324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</w:p>
        </w:tc>
        <w:tc>
          <w:tcPr>
            <w:tcW w:w="2438" w:type="dxa"/>
          </w:tcPr>
          <w:p w:rsidR="002E77DC" w:rsidRPr="005F684B" w:rsidRDefault="00231655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наступления рисков для всех субъектов правоотношений присутствует</w:t>
            </w:r>
          </w:p>
        </w:tc>
        <w:tc>
          <w:tcPr>
            <w:tcW w:w="2381" w:type="dxa"/>
          </w:tcPr>
          <w:p w:rsidR="002E77DC" w:rsidRPr="005F684B" w:rsidRDefault="00231655" w:rsidP="009F64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о предоставлении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прекращением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BCE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общего имущества 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соответствующие полномочия органов местного самоуправления, установления гарантий прав и законных интересов сторон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</w:t>
            </w:r>
          </w:p>
        </w:tc>
        <w:tc>
          <w:tcPr>
            <w:tcW w:w="2438" w:type="dxa"/>
          </w:tcPr>
          <w:p w:rsidR="002E77DC" w:rsidRPr="005F684B" w:rsidRDefault="0051391E" w:rsidP="002316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принимаемым актом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2E77DC" w:rsidRPr="005F684B" w:rsidRDefault="002E77DC" w:rsidP="0051391E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Иные последствия регулирования: </w:t>
            </w:r>
            <w:r w:rsidR="0051391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E77DC" w:rsidRPr="005F684B" w:rsidTr="00792E8C">
        <w:tc>
          <w:tcPr>
            <w:tcW w:w="9581" w:type="dxa"/>
            <w:gridSpan w:val="4"/>
          </w:tcPr>
          <w:p w:rsidR="00E4662A" w:rsidRDefault="002E77DC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6.6. Источники данных: </w:t>
            </w:r>
          </w:p>
          <w:p w:rsidR="002E77DC" w:rsidRPr="005F684B" w:rsidRDefault="009F64F1" w:rsidP="00792E8C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Федерации, Устав Волчанского городского округа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2E77DC" w:rsidSect="000A4ECA">
          <w:pgSz w:w="11907" w:h="16840"/>
          <w:pgMar w:top="1134" w:right="851" w:bottom="1134" w:left="1418" w:header="0" w:footer="0" w:gutter="0"/>
          <w:cols w:space="720"/>
        </w:sectPr>
      </w:pPr>
      <w:bookmarkStart w:id="6" w:name="P308"/>
      <w:bookmarkEnd w:id="6"/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2E77DC" w:rsidRPr="00C87338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2E77DC" w:rsidRPr="005F684B" w:rsidTr="00231655">
        <w:tc>
          <w:tcPr>
            <w:tcW w:w="323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2E77DC" w:rsidRPr="005F684B" w:rsidTr="00231655">
        <w:tc>
          <w:tcPr>
            <w:tcW w:w="3231" w:type="dxa"/>
          </w:tcPr>
          <w:p w:rsidR="002E77DC" w:rsidRPr="005F684B" w:rsidRDefault="00231655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соглашения о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 на проведение капитального ремонта общего имущества многоквартирных жилых домов</w:t>
            </w:r>
          </w:p>
        </w:tc>
        <w:tc>
          <w:tcPr>
            <w:tcW w:w="7401" w:type="dxa"/>
          </w:tcPr>
          <w:p w:rsidR="002E77DC" w:rsidRDefault="00231655" w:rsidP="00231655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правовых условий 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31655" w:rsidRPr="005F684B" w:rsidRDefault="00231655" w:rsidP="009F64F1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 правового регулирования отношений, возникающих в связи с подготовкой проекта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заключением, исполнением и прекращением соглашения о 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предоставлении субсидий на проведение капитального ремонта общего имущества 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  <w:tc>
          <w:tcPr>
            <w:tcW w:w="3174" w:type="dxa"/>
          </w:tcPr>
          <w:p w:rsidR="002E77DC" w:rsidRPr="005F684B" w:rsidRDefault="00E4662A" w:rsidP="00231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31655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2E77DC" w:rsidRPr="005F684B" w:rsidTr="00792E8C">
        <w:tc>
          <w:tcPr>
            <w:tcW w:w="170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Расчет (способ расчета)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(индикатора)</w:t>
            </w: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(индикатора) до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(индикатора) в связи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регулирования</w:t>
            </w: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Текущее значение показателя (индикатора) в связи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введением регулирования</w:t>
            </w: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 w:val="restart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DC" w:rsidRPr="005F684B" w:rsidTr="00792E8C">
        <w:tc>
          <w:tcPr>
            <w:tcW w:w="1701" w:type="dxa"/>
            <w:vMerge/>
          </w:tcPr>
          <w:p w:rsidR="002E77DC" w:rsidRPr="005F684B" w:rsidRDefault="002E77DC" w:rsidP="0079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E77DC" w:rsidRPr="006146C2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7DC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E77DC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8A1E7A" w:rsidRDefault="008A1E7A" w:rsidP="008A1E7A">
            <w:pPr>
              <w:pStyle w:val="ConsPlusNormal"/>
              <w:numPr>
                <w:ilvl w:val="0"/>
                <w:numId w:val="3"/>
              </w:numPr>
              <w:ind w:left="-62" w:firstLine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 условий 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и повышение качества товаров, работ, услуг, организация обеспечения которыми потребителей относится к вопросам ведения органов местного самоуправления.</w:t>
            </w:r>
          </w:p>
          <w:p w:rsidR="002E77DC" w:rsidRPr="005F684B" w:rsidRDefault="009F64F1" w:rsidP="008A1E7A">
            <w:pPr>
              <w:pStyle w:val="ConsPlusNormal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 правового регулирования отношений, возникающих в связи с подготовкой проекта Порядка предоставления субсидий, заключением, исполнением и прекращением соглашения о  предоставлении субсидий на проведение капитального ремонта общего имущества многоквартирных жилых домов, в том числе соответствующие полномочия органов местного самоуправления, установление гарантий прав и законных интересов сторон соглашения.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2E77DC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эффект: наличие механизма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на проведение капитального ремонта общего имущества многоквартирных жилых домов</w:t>
            </w:r>
          </w:p>
          <w:p w:rsidR="008A1E7A" w:rsidRPr="005F684B" w:rsidRDefault="008A1E7A" w:rsidP="008A1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Негативный эффект: отсутствует.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2E77DC" w:rsidRPr="005F684B" w:rsidRDefault="008A1E7A" w:rsidP="009F64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проекте постановления главы Волчанского городского округа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из бюджета Волчанского городского округа на капитальный ремонт общего имущества многоквартирных жилых домов на территории Волчанского городского округа на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отсутствуют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      </w:r>
          </w:p>
        </w:tc>
      </w:tr>
      <w:tr w:rsidR="002E77DC" w:rsidRPr="005F684B" w:rsidTr="00792E8C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F917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  <w:r w:rsidR="00F917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75"/>
      <w:bookmarkEnd w:id="10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по проекту заключения о результатах экспертизы</w:t>
      </w:r>
    </w:p>
    <w:p w:rsidR="002E77DC" w:rsidRPr="006146C2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2E77DC" w:rsidRPr="005F684B" w:rsidRDefault="002E77DC" w:rsidP="00792E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2E77DC" w:rsidRPr="005F684B" w:rsidRDefault="002E77DC" w:rsidP="009F64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64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E77DC" w:rsidRPr="005F684B" w:rsidRDefault="002E77DC" w:rsidP="00792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2E77DC" w:rsidRPr="005F684B" w:rsidTr="00792E8C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9F64F1" w:rsidRPr="00DB5E42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</w:tbl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1" w:name="P387"/>
      <w:bookmarkEnd w:id="11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2E77DC" w:rsidRPr="0055002D" w:rsidRDefault="002E77DC" w:rsidP="002E77DC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2E77DC" w:rsidRPr="005F684B" w:rsidRDefault="002E77DC" w:rsidP="002E77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2E77DC" w:rsidRPr="005F684B" w:rsidTr="00792E8C">
        <w:tc>
          <w:tcPr>
            <w:tcW w:w="2551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2E77DC" w:rsidRPr="005F684B" w:rsidRDefault="002E77DC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2E77DC" w:rsidRPr="005F684B" w:rsidTr="00792E8C">
        <w:tc>
          <w:tcPr>
            <w:tcW w:w="2551" w:type="dxa"/>
          </w:tcPr>
          <w:p w:rsidR="002E77DC" w:rsidRPr="006146C2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8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912" w:type="dxa"/>
          </w:tcPr>
          <w:p w:rsidR="002E77DC" w:rsidRPr="005F684B" w:rsidRDefault="00F917C0" w:rsidP="00792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E77DC" w:rsidRPr="005F684B" w:rsidRDefault="002E77DC" w:rsidP="002E77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DC" w:rsidRPr="005F684B" w:rsidRDefault="002E77DC" w:rsidP="002E7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2E77DC" w:rsidRPr="005F684B" w:rsidRDefault="009F64F1" w:rsidP="002E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3 предложения от 3 участников публичных консультаций, 2 предложения приняты, одно предложение отклонено.</w:t>
      </w:r>
    </w:p>
    <w:p w:rsidR="0020737A" w:rsidRDefault="0020737A"/>
    <w:sectPr w:rsidR="0020737A" w:rsidSect="002E77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E1" w:rsidRDefault="001C11E1">
      <w:pPr>
        <w:spacing w:after="0" w:line="240" w:lineRule="auto"/>
      </w:pPr>
      <w:r>
        <w:separator/>
      </w:r>
    </w:p>
  </w:endnote>
  <w:endnote w:type="continuationSeparator" w:id="0">
    <w:p w:rsidR="001C11E1" w:rsidRDefault="001C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E1" w:rsidRDefault="001C11E1">
      <w:pPr>
        <w:spacing w:after="0" w:line="240" w:lineRule="auto"/>
      </w:pPr>
      <w:r>
        <w:separator/>
      </w:r>
    </w:p>
  </w:footnote>
  <w:footnote w:type="continuationSeparator" w:id="0">
    <w:p w:rsidR="001C11E1" w:rsidRDefault="001C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385D"/>
    <w:multiLevelType w:val="hybridMultilevel"/>
    <w:tmpl w:val="B39AB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29"/>
    <w:rsid w:val="00097869"/>
    <w:rsid w:val="000A4ECA"/>
    <w:rsid w:val="000B7EE3"/>
    <w:rsid w:val="000C553D"/>
    <w:rsid w:val="000D49C4"/>
    <w:rsid w:val="001C11E1"/>
    <w:rsid w:val="00203634"/>
    <w:rsid w:val="0020737A"/>
    <w:rsid w:val="00226151"/>
    <w:rsid w:val="00231655"/>
    <w:rsid w:val="00232E18"/>
    <w:rsid w:val="00234D3B"/>
    <w:rsid w:val="00251ED1"/>
    <w:rsid w:val="002E77DC"/>
    <w:rsid w:val="00341321"/>
    <w:rsid w:val="003F768A"/>
    <w:rsid w:val="0051391E"/>
    <w:rsid w:val="0052343F"/>
    <w:rsid w:val="00523CE6"/>
    <w:rsid w:val="00533F47"/>
    <w:rsid w:val="00534952"/>
    <w:rsid w:val="00534C8E"/>
    <w:rsid w:val="005A03AE"/>
    <w:rsid w:val="005B5DDD"/>
    <w:rsid w:val="006862B0"/>
    <w:rsid w:val="006A18EE"/>
    <w:rsid w:val="00713692"/>
    <w:rsid w:val="00792E8C"/>
    <w:rsid w:val="007D3638"/>
    <w:rsid w:val="0080282E"/>
    <w:rsid w:val="008131F3"/>
    <w:rsid w:val="00834A3B"/>
    <w:rsid w:val="0086045E"/>
    <w:rsid w:val="008A1E7A"/>
    <w:rsid w:val="008E65F6"/>
    <w:rsid w:val="009975C4"/>
    <w:rsid w:val="009A066A"/>
    <w:rsid w:val="009F1BCE"/>
    <w:rsid w:val="009F64F1"/>
    <w:rsid w:val="00A669FA"/>
    <w:rsid w:val="00A76B00"/>
    <w:rsid w:val="00AC03CF"/>
    <w:rsid w:val="00AD6B77"/>
    <w:rsid w:val="00B40049"/>
    <w:rsid w:val="00B62529"/>
    <w:rsid w:val="00BD7C08"/>
    <w:rsid w:val="00C9318D"/>
    <w:rsid w:val="00E4662A"/>
    <w:rsid w:val="00E70D1A"/>
    <w:rsid w:val="00F31037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7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4E33-B396-489A-986F-617BC393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18</cp:revision>
  <dcterms:created xsi:type="dcterms:W3CDTF">2016-04-08T04:54:00Z</dcterms:created>
  <dcterms:modified xsi:type="dcterms:W3CDTF">2018-02-06T04:33:00Z</dcterms:modified>
</cp:coreProperties>
</file>