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807A8E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65126E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65126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65126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volchansk</w:t>
                                </w:r>
                                <w:r w:rsidRPr="0065126E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list</w:t>
                                </w:r>
                                <w:r w:rsidRPr="0065126E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hyperlink>
                            </w:p>
                            <w:p w:rsidR="00512484" w:rsidRPr="0065126E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12484" w:rsidRPr="0065126E" w:rsidRDefault="0065126E" w:rsidP="00512484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65126E">
                                <w:rPr>
                                  <w:sz w:val="22"/>
                                  <w:lang w:val="en-US"/>
                                </w:rPr>
                                <w:t>12</w:t>
                              </w:r>
                              <w:r w:rsidR="00512484" w:rsidRPr="0065126E">
                                <w:rPr>
                                  <w:sz w:val="22"/>
                                  <w:lang w:val="en-US"/>
                                </w:rPr>
                                <w:t>.</w:t>
                              </w:r>
                              <w:r w:rsidR="005B6BA9" w:rsidRPr="0065126E">
                                <w:rPr>
                                  <w:sz w:val="22"/>
                                  <w:lang w:val="en-US"/>
                                </w:rPr>
                                <w:t>0</w:t>
                              </w:r>
                              <w:r w:rsidRPr="0065126E">
                                <w:rPr>
                                  <w:sz w:val="22"/>
                                  <w:lang w:val="en-US"/>
                                </w:rPr>
                                <w:t>4</w:t>
                              </w:r>
                              <w:r w:rsidR="00890C3F" w:rsidRPr="0065126E">
                                <w:rPr>
                                  <w:sz w:val="22"/>
                                  <w:lang w:val="en-US"/>
                                </w:rPr>
                                <w:t>.201</w:t>
                              </w:r>
                              <w:r w:rsidRPr="0065126E">
                                <w:rPr>
                                  <w:sz w:val="22"/>
                                  <w:lang w:val="en-US"/>
                                </w:rPr>
                                <w:t>8</w:t>
                              </w:r>
                              <w:r w:rsidR="002246D2" w:rsidRPr="0065126E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65126E">
                                <w:rPr>
                                  <w:sz w:val="22"/>
                                  <w:lang w:val="en-US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65126E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65126E">
        <w:rPr>
          <w:rFonts w:eastAsia="Calibri"/>
          <w:sz w:val="28"/>
          <w:szCs w:val="28"/>
          <w:lang w:eastAsia="en-US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="0065126E">
        <w:rPr>
          <w:rFonts w:eastAsia="Calibri"/>
          <w:sz w:val="28"/>
          <w:szCs w:val="28"/>
          <w:lang w:eastAsia="en-US"/>
        </w:rPr>
        <w:t xml:space="preserve"> для обеспечения жильем отдельных категорий граждан, сложившейся на территории Волчанского городского округа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 xml:space="preserve"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 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>регулирующего воздействия</w:t>
      </w:r>
      <w:proofErr w:type="gramEnd"/>
      <w:r w:rsidR="002449EC" w:rsidRPr="009B4752">
        <w:rPr>
          <w:sz w:val="28"/>
          <w:szCs w:val="28"/>
        </w:rPr>
        <w:t xml:space="preserve"> </w:t>
      </w:r>
      <w:proofErr w:type="gramStart"/>
      <w:r w:rsidR="002449EC" w:rsidRPr="009B4752">
        <w:rPr>
          <w:sz w:val="28"/>
          <w:szCs w:val="28"/>
        </w:rPr>
        <w:t xml:space="preserve">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 xml:space="preserve">осуществлена экспертиза проведения процедуры оценки регулирующего воздействия при подготовке проекта постановления главы Волчанского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65126E">
        <w:rPr>
          <w:rFonts w:eastAsia="Calibri"/>
          <w:sz w:val="28"/>
          <w:szCs w:val="28"/>
          <w:lang w:eastAsia="en-US"/>
        </w:rPr>
        <w:t>Об утверждении Порядка определения средней рыночной</w:t>
      </w:r>
      <w:proofErr w:type="gramEnd"/>
      <w:r w:rsidR="0065126E">
        <w:rPr>
          <w:rFonts w:eastAsia="Calibri"/>
          <w:sz w:val="28"/>
          <w:szCs w:val="28"/>
          <w:lang w:eastAsia="en-US"/>
        </w:rPr>
        <w:t xml:space="preserve">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</w:t>
      </w:r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r w:rsidR="00890C3F" w:rsidRPr="00485099">
        <w:rPr>
          <w:sz w:val="28"/>
          <w:szCs w:val="28"/>
        </w:rPr>
        <w:t>http://volchansk-adm.ru/orv/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5126E">
        <w:rPr>
          <w:rFonts w:eastAsia="Calibri"/>
          <w:sz w:val="28"/>
          <w:szCs w:val="28"/>
          <w:lang w:eastAsia="en-US"/>
        </w:rPr>
        <w:t>и на портале Свердловской области</w:t>
      </w:r>
      <w:r w:rsidR="00807A8E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5126E" w:rsidRPr="0065126E">
        <w:rPr>
          <w:rFonts w:eastAsia="Calibri"/>
          <w:sz w:val="28"/>
          <w:szCs w:val="28"/>
          <w:lang w:eastAsia="en-US"/>
        </w:rPr>
        <w:t>http://regulation.midural.ru/</w:t>
      </w:r>
      <w:r w:rsidR="006512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890C3F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</w:t>
      </w:r>
      <w:r w:rsidR="00890C3F">
        <w:rPr>
          <w:sz w:val="28"/>
          <w:szCs w:val="28"/>
        </w:rPr>
        <w:t xml:space="preserve">поступило </w:t>
      </w:r>
      <w:r w:rsidR="0065126E">
        <w:rPr>
          <w:sz w:val="28"/>
          <w:szCs w:val="28"/>
        </w:rPr>
        <w:t>два</w:t>
      </w:r>
      <w:r w:rsidR="00890C3F">
        <w:rPr>
          <w:sz w:val="28"/>
          <w:szCs w:val="28"/>
        </w:rPr>
        <w:t xml:space="preserve"> предложения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</w:t>
      </w:r>
      <w:r w:rsidR="00826BB1">
        <w:rPr>
          <w:sz w:val="28"/>
          <w:szCs w:val="28"/>
        </w:rPr>
        <w:t xml:space="preserve"> и отдельных категорий граждан</w:t>
      </w:r>
      <w:r>
        <w:rPr>
          <w:sz w:val="28"/>
          <w:szCs w:val="28"/>
        </w:rPr>
        <w:t xml:space="preserve">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деятельности </w:t>
      </w:r>
      <w:r w:rsidR="00826BB1">
        <w:rPr>
          <w:sz w:val="28"/>
          <w:szCs w:val="28"/>
        </w:rPr>
        <w:t xml:space="preserve">и отдельных категорий граждан </w:t>
      </w:r>
      <w:r>
        <w:rPr>
          <w:sz w:val="28"/>
          <w:szCs w:val="28"/>
        </w:rPr>
        <w:t xml:space="preserve">и бюджетной системы Волчанского городского округа. </w:t>
      </w:r>
    </w:p>
    <w:p w:rsidR="007748AE" w:rsidRDefault="00890C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способ правового регулирования является оптимальным и эффективным для достижения целей правового регулирования.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8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26E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A8E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6BB1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3F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tter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chan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61</cp:revision>
  <cp:lastPrinted>2016-07-29T05:18:00Z</cp:lastPrinted>
  <dcterms:created xsi:type="dcterms:W3CDTF">2013-04-23T09:03:00Z</dcterms:created>
  <dcterms:modified xsi:type="dcterms:W3CDTF">2018-04-11T05:06:00Z</dcterms:modified>
</cp:coreProperties>
</file>