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13.11.2020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492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19,20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но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ября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2020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Плана организации и проведения ярмарок на территории Волчанского городского округа в 2020  году, утвержденного постановлением главы Волчанского городского округа от 23.12.2019 года № 526 (с изменениями от 29.04.2020 № 179; от 23.06.2020 № 253; от 07.07.2020 № 266; от 10.08.2020   № 313; </w:t>
      </w:r>
      <w:r>
        <w:rPr>
          <w:rFonts w:cs="Times New Roman" w:ascii="Times New Roman" w:hAnsi="Times New Roman"/>
          <w:sz w:val="28"/>
          <w:szCs w:val="28"/>
        </w:rPr>
        <w:t>от 16.10.2020 года № 431; от 13.11.2020 года № 491</w:t>
      </w:r>
      <w:r>
        <w:rPr>
          <w:rFonts w:cs="Times New Roman" w:ascii="Times New Roman" w:hAnsi="Times New Roman"/>
          <w:sz w:val="28"/>
          <w:szCs w:val="28"/>
        </w:rPr>
        <w:t xml:space="preserve">),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но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ября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ября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И.о. главы администрации</w:t>
        <w:tab/>
        <w:tab/>
        <w:tab/>
        <w:tab/>
        <w:tab/>
        <w:tab/>
        <w:t xml:space="preserve">       И.В. Бородулина</w:t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13.11.2020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492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3.11.2020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492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0405" cy="474789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800" cy="47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05pt;height:373.7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LibreOffice/6.4.5.2$Windows_X86_64 LibreOffice_project/a726b36747cf2001e06b58ad5db1aa3a9a1872d6</Application>
  <Pages>4</Pages>
  <Words>399</Words>
  <Characters>2553</Characters>
  <CharactersWithSpaces>3071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2020-11-17T09:26:41Z</cp:lastPrinted>
  <dcterms:modified xsi:type="dcterms:W3CDTF">2020-11-17T09:27:08Z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