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 id="ole_rId2" style="width:29.25pt;height:46.5pt" o:ole="">
            <v:imagedata r:id="rId3" o:title=""/>
          </v:shape>
          <o:OLEObject Type="Embed" ProgID="StaticMetafile" ShapeID="ole_rId2" DrawAspect="Content" ObjectID="_325317955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ascii="Times New Roman" w:hAnsi="Times New Roman" w:eastAsia="Times New Roman" w:cs="Times New Roman"/>
          <w:caps/>
          <w:spacing w:val="160"/>
          <w:sz w:val="36"/>
          <w:szCs w:val="24"/>
          <w:lang w:eastAsia="ru-RU"/>
        </w:rPr>
      </w:pPr>
      <w:r>
        <w:rPr>
          <w:rFonts w:eastAsia="Times New Roman" w:cs="Times New Roman"/>
          <w:caps/>
          <w:spacing w:val="160"/>
          <w:sz w:val="36"/>
          <w:szCs w:val="24"/>
          <w:lang w:eastAsia="ru-RU"/>
        </w:rPr>
        <w:t>РАСПОРЯЖЕНИЕ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02.03.2021</w:t>
      </w:r>
      <w:r>
        <w:rPr>
          <w:rFonts w:eastAsia="Times New Roman"/>
        </w:rPr>
        <w:t xml:space="preserve"> 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</w:t>
      </w:r>
      <w:r>
        <w:rPr>
          <w:rFonts w:eastAsia="Calibri" w:cs="Times New Roman"/>
          <w:sz w:val="28"/>
          <w:szCs w:val="28"/>
          <w:lang w:eastAsia="ru-RU"/>
        </w:rPr>
        <w:t>30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января</w:t>
      </w:r>
      <w:r>
        <w:rPr>
          <w:sz w:val="28"/>
          <w:szCs w:val="28"/>
        </w:rPr>
        <w:t xml:space="preserve"> 2021 года № </w:t>
      </w:r>
      <w:r>
        <w:rPr>
          <w:rFonts w:eastAsia="Calibri" w:cs="Times New Roman"/>
          <w:sz w:val="28"/>
          <w:szCs w:val="28"/>
          <w:lang w:eastAsia="ru-RU"/>
        </w:rPr>
        <w:t>208</w:t>
      </w:r>
      <w:r>
        <w:rPr>
          <w:sz w:val="28"/>
          <w:szCs w:val="28"/>
        </w:rPr>
        <w:t xml:space="preserve">-р, </w:t>
      </w:r>
      <w:r>
        <w:rPr>
          <w:rFonts w:eastAsia="Calibri" w:cs="Times New Roman"/>
          <w:sz w:val="28"/>
          <w:szCs w:val="28"/>
          <w:lang w:eastAsia="ru-RU"/>
        </w:rPr>
        <w:t>в целях стимулирования предпринимательской активности и самозанятости граждан</w:t>
      </w:r>
      <w:r>
        <w:rPr>
          <w:sz w:val="28"/>
          <w:szCs w:val="28"/>
        </w:rPr>
        <w:t xml:space="preserve">, увеличения доходов и роста благосостояния граждан,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lang w:eastAsia="ru-RU"/>
        </w:rPr>
        <w:t>РЕКОМЕНДОВАТЬ</w:t>
      </w:r>
      <w:r>
        <w:rPr>
          <w:b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-4253" w:leader="none"/>
          <w:tab w:val="left" w:pos="960" w:leader="none"/>
        </w:tabs>
        <w:overflowPunct w:val="false"/>
        <w:bidi w:val="0"/>
        <w:spacing w:lineRule="auto" w:line="240"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Комитету по управлению имуществом Волчанского городского округа: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253" w:leader="none"/>
          <w:tab w:val="left" w:pos="96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sz w:val="28"/>
          <w:szCs w:val="28"/>
        </w:rPr>
        <w:t>1.1.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253" w:leader="none"/>
          <w:tab w:val="left" w:pos="96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sz w:val="28"/>
          <w:szCs w:val="28"/>
        </w:rPr>
        <w:t>1.2. продлевать договоры на размещение нестационарных торговых объектов и объектов для осуществления развозной торговли без проведения торгов;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253" w:leader="none"/>
          <w:tab w:val="left" w:pos="96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sz w:val="28"/>
          <w:szCs w:val="28"/>
        </w:rPr>
        <w:t>1.3. обеспечить крестьянским (фермерским) хозяйствам, а также гражданам, ведущим личное подсобное хояйство, занимающимся садоводством, огородничеством возможность реализации указанной продукции в специально отведенных местах с высокой проходимостью.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253" w:leader="none"/>
          <w:tab w:val="left" w:pos="96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Волчанскому Фонду поддержки малого предпринимательства: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253" w:leader="none"/>
          <w:tab w:val="left" w:pos="96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253" w:leader="none"/>
          <w:tab w:val="left" w:pos="96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содействовать открытию юридическими и физическими лицами новых торговых объектов всех форм торговли, обращая особое внимание на проведение ярмарок, увеличения торговых мест на них.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-4253" w:leader="none"/>
          <w:tab w:val="left" w:pos="960" w:leader="none"/>
        </w:tabs>
        <w:overflowPunct w:val="false"/>
        <w:bidi w:val="0"/>
        <w:spacing w:lineRule="auto" w:line="240" w:before="0" w:after="0"/>
        <w:ind w:left="1800" w:right="0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LibreOffice/6.4.5.2$Windows_X86_64 LibreOffice_project/a726b36747cf2001e06b58ad5db1aa3a9a1872d6</Application>
  <Pages>1</Pages>
  <Words>170</Words>
  <Characters>1294</Characters>
  <CharactersWithSpaces>1736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2021-03-03T12:13:17Z</cp:lastPrinted>
  <dcterms:modified xsi:type="dcterms:W3CDTF">2021-03-12T10:32:26Z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