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05" w:rsidRPr="002C52C5" w:rsidRDefault="00553005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ПРАВИТЕЛЬСТВО РОССИЙСКОЙ ФЕДЕРАЦИИ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РАСПОРЯЖЕНИЕ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от 17 апреля 2019 г. № 768-р</w:t>
      </w:r>
    </w:p>
    <w:p w:rsidR="00553005" w:rsidRPr="00553005" w:rsidRDefault="005530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 xml:space="preserve">1. Утвердить прилагаемый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</w:t>
        </w:r>
      </w:hyperlink>
      <w:r w:rsidRPr="002C52C5">
        <w:rPr>
          <w:rFonts w:ascii="Times New Roman" w:hAnsi="Times New Roman" w:cs="Times New Roman"/>
          <w:sz w:val="24"/>
          <w:szCs w:val="28"/>
        </w:rPr>
        <w:t xml:space="preserve"> развития конкуренции в субъектах Российской Федерации (далее - стандарт).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2. Рекомендовать: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стандарта</w:t>
        </w:r>
      </w:hyperlink>
      <w:r w:rsidRPr="002C52C5">
        <w:rPr>
          <w:rFonts w:ascii="Times New Roman" w:hAnsi="Times New Roman" w:cs="Times New Roman"/>
          <w:sz w:val="24"/>
          <w:szCs w:val="28"/>
        </w:rPr>
        <w:t>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 xml:space="preserve">субъектам естественных монополий руководствоваться положениями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стандарта</w:t>
        </w:r>
      </w:hyperlink>
      <w:r w:rsidRPr="002C52C5">
        <w:rPr>
          <w:rFonts w:ascii="Times New Roman" w:hAnsi="Times New Roman" w:cs="Times New Roman"/>
          <w:sz w:val="24"/>
          <w:szCs w:val="28"/>
        </w:rPr>
        <w:t xml:space="preserve"> в рамках раскрытия информации о своей деятельности.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стандарту</w:t>
        </w:r>
      </w:hyperlink>
      <w:r w:rsidRPr="002C52C5">
        <w:rPr>
          <w:rFonts w:ascii="Times New Roman" w:hAnsi="Times New Roman" w:cs="Times New Roman"/>
          <w:sz w:val="24"/>
          <w:szCs w:val="28"/>
        </w:rPr>
        <w:t>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4. Минэкономразвития России: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 xml:space="preserve">образовать межведомственную рабочую группу по вопросам реализации положений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стандарта</w:t>
        </w:r>
      </w:hyperlink>
      <w:r w:rsidRPr="002C52C5">
        <w:rPr>
          <w:rFonts w:ascii="Times New Roman" w:hAnsi="Times New Roman" w:cs="Times New Roman"/>
          <w:sz w:val="24"/>
          <w:szCs w:val="28"/>
        </w:rPr>
        <w:t>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C52C5">
        <w:rPr>
          <w:rFonts w:ascii="Times New Roman" w:hAnsi="Times New Roman" w:cs="Times New Roman"/>
          <w:sz w:val="24"/>
          <w:szCs w:val="28"/>
        </w:rP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стандарта</w:t>
        </w:r>
      </w:hyperlink>
      <w:r w:rsidRPr="002C52C5">
        <w:rPr>
          <w:rFonts w:ascii="Times New Roman" w:hAnsi="Times New Roman" w:cs="Times New Roman"/>
          <w:sz w:val="24"/>
          <w:szCs w:val="28"/>
        </w:rPr>
        <w:t>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C52C5">
        <w:rPr>
          <w:rFonts w:ascii="Times New Roman" w:hAnsi="Times New Roman" w:cs="Times New Roman"/>
          <w:sz w:val="24"/>
          <w:szCs w:val="28"/>
        </w:rP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 w:rsidRPr="002C52C5">
          <w:rPr>
            <w:rFonts w:ascii="Times New Roman" w:hAnsi="Times New Roman" w:cs="Times New Roman"/>
            <w:sz w:val="24"/>
            <w:szCs w:val="28"/>
          </w:rPr>
          <w:t>стандарта</w:t>
        </w:r>
      </w:hyperlink>
      <w:r w:rsidRPr="002C52C5">
        <w:rPr>
          <w:rFonts w:ascii="Times New Roman" w:hAnsi="Times New Roman" w:cs="Times New Roman"/>
          <w:sz w:val="24"/>
          <w:szCs w:val="28"/>
        </w:rPr>
        <w:t>, включающий оценку эффективности деятельности органов исполнительной власти субъектов Российской Федерации по его внедрению.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5. Признать утратившими силу: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hyperlink r:id="rId4" w:history="1">
        <w:r w:rsidRPr="002C52C5">
          <w:rPr>
            <w:rFonts w:ascii="Times New Roman" w:hAnsi="Times New Roman" w:cs="Times New Roman"/>
            <w:sz w:val="24"/>
            <w:szCs w:val="28"/>
          </w:rPr>
          <w:t>распоряжение</w:t>
        </w:r>
      </w:hyperlink>
      <w:r w:rsidRPr="002C52C5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5 сентября 2015 г. « 1738-р (Собрание законодательства Российской Федерации, 2015, № 37, ст. 5176);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hyperlink r:id="rId5" w:history="1">
        <w:r w:rsidRPr="002C52C5">
          <w:rPr>
            <w:rFonts w:ascii="Times New Roman" w:hAnsi="Times New Roman" w:cs="Times New Roman"/>
            <w:sz w:val="24"/>
            <w:szCs w:val="28"/>
          </w:rPr>
          <w:t>распоряжение</w:t>
        </w:r>
      </w:hyperlink>
      <w:r w:rsidRPr="002C52C5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17 сентября 2016 г. № 1969-р (Собрание законодательства Российской Федерации, 2016, № 39, ст. 5702).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553005" w:rsidRPr="002C52C5" w:rsidRDefault="005530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Председатель Правительства</w:t>
      </w:r>
    </w:p>
    <w:p w:rsidR="00553005" w:rsidRPr="002C52C5" w:rsidRDefault="00553005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2C52C5">
        <w:rPr>
          <w:rFonts w:ascii="Times New Roman" w:hAnsi="Times New Roman" w:cs="Times New Roman"/>
          <w:sz w:val="24"/>
          <w:szCs w:val="28"/>
        </w:rPr>
        <w:t>Российской Федерации</w:t>
      </w:r>
    </w:p>
    <w:p w:rsidR="00553005" w:rsidRPr="002C52C5" w:rsidRDefault="00553005">
      <w:pPr>
        <w:pStyle w:val="ConsPlusNormal"/>
        <w:jc w:val="right"/>
        <w:rPr>
          <w:sz w:val="20"/>
        </w:rPr>
      </w:pPr>
      <w:r w:rsidRPr="002C52C5">
        <w:rPr>
          <w:rFonts w:ascii="Times New Roman" w:hAnsi="Times New Roman" w:cs="Times New Roman"/>
          <w:sz w:val="24"/>
          <w:szCs w:val="28"/>
        </w:rPr>
        <w:t>Д.МЕДВЕДЕВ</w:t>
      </w: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553005" w:rsidRPr="002C52C5" w:rsidRDefault="00553005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C52C5">
        <w:rPr>
          <w:rFonts w:ascii="Times New Roman" w:hAnsi="Times New Roman" w:cs="Times New Roman"/>
          <w:sz w:val="20"/>
          <w:szCs w:val="24"/>
        </w:rPr>
        <w:lastRenderedPageBreak/>
        <w:t>Утвержден</w:t>
      </w:r>
    </w:p>
    <w:p w:rsidR="00553005" w:rsidRPr="002C52C5" w:rsidRDefault="0055300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C52C5">
        <w:rPr>
          <w:rFonts w:ascii="Times New Roman" w:hAnsi="Times New Roman" w:cs="Times New Roman"/>
          <w:sz w:val="20"/>
          <w:szCs w:val="24"/>
        </w:rPr>
        <w:t>распоряжением Правительства</w:t>
      </w:r>
    </w:p>
    <w:p w:rsidR="00553005" w:rsidRPr="002C52C5" w:rsidRDefault="0055300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C52C5">
        <w:rPr>
          <w:rFonts w:ascii="Times New Roman" w:hAnsi="Times New Roman" w:cs="Times New Roman"/>
          <w:sz w:val="20"/>
          <w:szCs w:val="24"/>
        </w:rPr>
        <w:t>Российской Федерации</w:t>
      </w:r>
    </w:p>
    <w:p w:rsidR="00553005" w:rsidRPr="002C52C5" w:rsidRDefault="0055300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C52C5">
        <w:rPr>
          <w:rFonts w:ascii="Times New Roman" w:hAnsi="Times New Roman" w:cs="Times New Roman"/>
          <w:sz w:val="20"/>
          <w:szCs w:val="24"/>
        </w:rPr>
        <w:t>от 17 апреля 2019 г. N 768-р</w:t>
      </w:r>
    </w:p>
    <w:p w:rsidR="00553005" w:rsidRDefault="00553005">
      <w:pPr>
        <w:pStyle w:val="ConsPlusNormal"/>
        <w:jc w:val="center"/>
      </w:pP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2C52C5">
        <w:rPr>
          <w:rFonts w:ascii="Times New Roman" w:hAnsi="Times New Roman" w:cs="Times New Roman"/>
          <w:sz w:val="24"/>
          <w:szCs w:val="24"/>
        </w:rPr>
        <w:t>СТАНДАРТ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РАЗВИТИЯ КОНКУРЕНЦИИ В СУБЪЕКТАХ РОССИЙСКОЙ ФЕДЕРАЦИИ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6" w:history="1">
        <w:r w:rsidRPr="002C52C5">
          <w:rPr>
            <w:rFonts w:ascii="Times New Roman" w:hAnsi="Times New Roman" w:cs="Times New Roman"/>
            <w:sz w:val="24"/>
            <w:szCs w:val="24"/>
          </w:rPr>
          <w:t>пункта 7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C52C5">
          <w:rPr>
            <w:rFonts w:ascii="Times New Roman" w:hAnsi="Times New Roman" w:cs="Times New Roman"/>
            <w:sz w:val="24"/>
            <w:szCs w:val="24"/>
          </w:rPr>
          <w:t>подпункта "в" пункта 8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2. Целями стандарта являются: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б) содействие формированию прозрачной системы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повышение доступности финансовых услуг для субъектов экономической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ж) преодоление и минимизация влияния несовершенной конкуренции на инфляцию;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3. Принципами внедрения стандарта являются: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lastRenderedPageBreak/>
        <w:t>целом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>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б) заинтересованность высшего должностного лица - высшее должностное лицо обеспечивает единство целей и направлений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для результативной и эффективной реализации стандарта;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в) системный подход - совершенствование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В соглашении отражаются положения, определяющие его цели и предмет, описываются порядок, формы и направления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приоритетной программы по внедрению стандарта, утверждаемой высшим должностным лицом.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положения о структурных подразделениях.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Для достижения целей стандарта и соблюдения принципов его внедрения, формирования </w:t>
      </w:r>
      <w:hyperlink w:anchor="P323" w:history="1">
        <w:r w:rsidRPr="002C52C5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, созданного при высшем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>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 органов местного самоуправления.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II. Определение уполномоченного органа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9. Уполномоченный орган определяется из числа органов исполнительной власти субъекта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10. Уполномоченный орган осуществляет следующие полномочия: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проектами;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lastRenderedPageBreak/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в) обеспечивают единство целей и направлений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III. Рассмотрение вопросов содействия развитию конкуренции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на заседаниях коллегиального органа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результаты и анализ результатов мониторинга.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2"/>
      <w:bookmarkEnd w:id="1"/>
      <w:r w:rsidRPr="002C52C5">
        <w:rPr>
          <w:rFonts w:ascii="Times New Roman" w:hAnsi="Times New Roman" w:cs="Times New Roman"/>
          <w:sz w:val="24"/>
          <w:szCs w:val="24"/>
        </w:rPr>
        <w:t xml:space="preserve">14. В состав коллегиального органа (в том числе в рамках отдельных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специализированных рабочих групп по направлениям) включаются: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представители комиссии по проведению административной реформы в субъекте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е) представители потребителей товаров, работ, услуг, задействованные в механизмах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представители объединений, действующих в интересах сферы рыбного хозяйства (воспроизводство водных биологических ресурсов,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, товарное рыбоводство, промышленное рыболовство,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рыбопереработка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л) эксперты и специалисты иных направлений (конструкторы, инженеры, изобретатели,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инноваторы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, специалисты в области программного обеспечения, информационно-коммуникационных технологий, медицинских и биотехнологий,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, альтернативной энергетики 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м) представители общественных палат субъектов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15. В случае необходимости в состав коллегиального органа помимо лиц, указанных в </w:t>
      </w:r>
      <w:hyperlink w:anchor="P92" w:history="1">
        <w:r w:rsidRPr="002C52C5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стандарта, могут включаться иные участники (с учетом региональной специфики).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представителей территориальных органов федеральных органов исполнительной власти;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уполномоченного по защите прав предпринимателей в субъекте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уполномоченного по правам человека в субъекте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представителей территориальных учреждений Центрального банка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17. Заседания коллегиального органа в очном формате целесообразно проводить не реже одного раза в квартал.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lastRenderedPageBreak/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IV. Утверждение перечня товарных рынков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 w:rsidRPr="002C52C5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C52C5">
        <w:rPr>
          <w:rFonts w:ascii="Times New Roman" w:hAnsi="Times New Roman" w:cs="Times New Roman"/>
          <w:sz w:val="24"/>
          <w:szCs w:val="24"/>
        </w:rPr>
        <w:t>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субъектами Российской Федерации самостоятельно с учетом специфики социально-экономического развития.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23. Разработка перечня товарных рынков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 том числе на основе следующих данных: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инвестиционные приоритеты, определяемые субъектом Российской Федерации в установленном им порядке;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е) результаты аналитических исследований и опросов субъектов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предпринимательской деятельности, экспертов, потребителей товаров, работ, услуг,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саморегулируемых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V. Разработка "дорожной карты"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26. Утверждение "дорожной карты" осуществляется высшим должностным лицом.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27. "Дорожная карта" разрабатывается на основе анализа результатов мониторинга, лучших практик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работы органов исполнительной власти субъектов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по внедрению стандарта, информации территориальных органов федеральных органов исполнительной власти, территориальных учреждений Центрального банка Российской Федерации и иных источников информации.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28. При разработке и реализации "дорожной карты", а также при внесении в нее изменений осуществляются: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определение процессов, необходимых для реализации требований по развитию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определение последовательности и взаимодействия этих процессов, а также их приоритетность;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в) определение критериев и методов, необходимых для обеспечения результативности и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как при осуществлении этих процессов, так и при управлении ими;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обеспечение ресурсов и информации, необходимых для поддержания этих процессов и их мониторинга;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определение принципов и порядка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взаимодействия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с органами местного самоуправления;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мероприятия, необходимые для достижения запланированных результатов.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29. Органы местного самоуправления при наличии соглашения могут быть соисполнителями мероприятий "дорожной карты".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а) на развитие конкурентоспособности товаров, работ, услуг субъектов малого и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устранение случаев (снижение количества) осуществления закупки у единственного поставщика;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прирост объема закупок у субъектов малого и среднего предпринимательства;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увеличение количества участников закупок из числа субъектов малого и среднего предпринимательства;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экономия средств заказчика за счет участия в закупках субъектов малого и среднего предпринимательства;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8" w:history="1">
        <w:r w:rsidRPr="002C52C5">
          <w:rPr>
            <w:rFonts w:ascii="Times New Roman" w:hAnsi="Times New Roman" w:cs="Times New Roman"/>
            <w:sz w:val="24"/>
            <w:szCs w:val="24"/>
          </w:rPr>
          <w:t>статьям 15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2C52C5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0" w:history="1">
        <w:r w:rsidRPr="002C52C5">
          <w:rPr>
            <w:rFonts w:ascii="Times New Roman" w:hAnsi="Times New Roman" w:cs="Times New Roman"/>
            <w:sz w:val="24"/>
            <w:szCs w:val="24"/>
          </w:rPr>
          <w:t>Об общих принципах организации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1" w:history="1">
        <w:r w:rsidRPr="002C52C5">
          <w:rPr>
            <w:rFonts w:ascii="Times New Roman" w:hAnsi="Times New Roman" w:cs="Times New Roman"/>
            <w:sz w:val="24"/>
            <w:szCs w:val="24"/>
          </w:rPr>
          <w:t>Об общих принципах организации местного самоуправления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в Российской Федерации", пунктов, предусматривающих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на совершенствование процессов управления в рамках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полномочий органов исполнительной власти субъектов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содержатся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е) на создание условий для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доступа хозяйствующих субъектов на товарные рынки;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на содействие развитию практики применения механизмов государственно-частного 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муниципально-частного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л) на развитие механизмов поддержки технического и научно-технического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м) на повышение в субъекте Российской Федерации цифровой грамотности населения, государственных гражданских служащих и работников бюджетной сферы в рамках соответствующей региональной программы;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в сети "Интернет";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Интернешнл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Abilympic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Federation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52C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2" w:history="1">
        <w:r w:rsidRPr="002C52C5">
          <w:rPr>
            <w:rFonts w:ascii="Times New Roman" w:hAnsi="Times New Roman" w:cs="Times New Roman"/>
            <w:sz w:val="24"/>
            <w:szCs w:val="24"/>
          </w:rPr>
          <w:t>Стратегии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типа финансовых организаций, осуществляющих свою деятельность на территории субъекта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повышение доступности финансовых услуг для субъектов экономической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органами местного самоуправления.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31. "Дорожная карта" должна содержать следующую информацию: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результаты (цели) и ключевые показатели развития конкуренции (с указанием срока их достижения);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г) сведения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32. Планируется, что мероприятия, предусмотренные "дорожной картой", затронут все сферы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при возможном взаимодействии по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соисполнению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дополнением к мероприятиям, предусмотренным "дорожной картой", и указываются в приложении к ней.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34. С учетом соглашения в "дорожную карту" могут включаться мероприятия в отношении муниципальных образований.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VI. Проведение мониторинга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>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4"/>
      <w:bookmarkEnd w:id="2"/>
      <w:r w:rsidRPr="002C52C5">
        <w:rPr>
          <w:rFonts w:ascii="Times New Roman" w:hAnsi="Times New Roman" w:cs="Times New Roman"/>
          <w:sz w:val="24"/>
          <w:szCs w:val="24"/>
        </w:rPr>
        <w:t>39. Мониторинг включает в себя: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сбор данных о возможностях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недискриминационного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 продолжительности осуществления предпринимательской деятельности хозяйствующих субъектов, деятельность которых начата в период не ранее 5 и не позже 3 лет до начала сбора указанных данных;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lastRenderedPageBreak/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формирование перечня товарных рынков, на которых присутствуют субъекты естественных монополий;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сбор и анализ данных об оказываемых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на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которого ежегодно публикуются на официальном сайте в сети "Интернет";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мониторинг цен (с учетом динамики) на товары, входящие в </w:t>
      </w:r>
      <w:hyperlink r:id="rId13" w:history="1">
        <w:r w:rsidRPr="002C52C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и) мониторинг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возможностей субъекта Российской Федерации с учетом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хабах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 этом сегменте, включая наличие стабильной подвижной радиотелефонной связи на удаленных дорогах;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40. При проведении мониторинга уполномоченный орган использует в том числе: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показатели, характеризующие состояние экономики и социальной сферы каждого муниципального образования;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ж) информацию о результатах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  <w:r w:rsidRPr="002C52C5">
        <w:rPr>
          <w:rFonts w:ascii="Times New Roman" w:hAnsi="Times New Roman" w:cs="Times New Roman"/>
          <w:sz w:val="24"/>
          <w:szCs w:val="24"/>
        </w:rP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данные по ожидаемому потребителями темпу роста цен;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среднероссийским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уровнем;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 w:rsidRPr="002C52C5">
          <w:rPr>
            <w:rFonts w:ascii="Times New Roman" w:hAnsi="Times New Roman" w:cs="Times New Roman"/>
            <w:sz w:val="24"/>
            <w:szCs w:val="24"/>
          </w:rPr>
          <w:t>пункте 41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стандарта информацию.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продвижению новых проектов" утверждает единую методику мониторинга.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 w:rsidRPr="002C52C5">
          <w:rPr>
            <w:rFonts w:ascii="Times New Roman" w:hAnsi="Times New Roman" w:cs="Times New Roman"/>
            <w:sz w:val="24"/>
            <w:szCs w:val="24"/>
          </w:rPr>
          <w:t>пунктами 39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46" w:history="1">
        <w:r w:rsidRPr="002C52C5">
          <w:rPr>
            <w:rFonts w:ascii="Times New Roman" w:hAnsi="Times New Roman" w:cs="Times New Roman"/>
            <w:sz w:val="24"/>
            <w:szCs w:val="24"/>
          </w:rPr>
          <w:t>41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стандарта, а также установить критерии: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оценки состояния конкуренции субъектами предпринимательской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иные критерии.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субъекта Российской Федерации и органов местного самоуправления (в рамках соглашения).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46. По результатам мониторинга уполномоченный орган подготавливает проект доклада, содержащий в том числе: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а) характеристику состояния конкуренции на товарных рынках, включенных в </w:t>
      </w:r>
      <w:hyperlink w:anchor="P323" w:history="1">
        <w:r w:rsidRPr="002C52C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товарных рынков, а также анализ факторов, ограничивающих конкуренцию;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в) информацию о результатах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г) анализ результативности и эффективности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субъекта Российской Федерации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52C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>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достигнутых показателей в общем количестве показателей;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средней суммы фактических значений достижения показателей (процентов плана);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выполненных мероприятий в общем количестве мероприятий, по которым приняты корректирующие решения;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инициатив по продвижению новых проектов".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49.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VII. Создание и реализация механизмов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естественных монополий в соответствии с </w:t>
      </w:r>
      <w:hyperlink r:id="rId14" w:history="1">
        <w:r w:rsidRPr="002C52C5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Также могут быть учтены мнения представителей потребителей товаров, работ, услуг, задействованных в механизмах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lastRenderedPageBreak/>
        <w:t xml:space="preserve"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раскрытием информации и деятельностью субъектов естественных монополий. Высшее должностное лицо обеспечивает общественный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89"/>
      <w:bookmarkEnd w:id="4"/>
      <w:r w:rsidRPr="002C52C5">
        <w:rPr>
          <w:rFonts w:ascii="Times New Roman" w:hAnsi="Times New Roman" w:cs="Times New Roman"/>
          <w:sz w:val="24"/>
          <w:szCs w:val="24"/>
        </w:rP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в осуществлении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субъектов естественных монополий;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и независимых экспертов;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Раскрытие информации, указанной в </w:t>
      </w:r>
      <w:hyperlink w:anchor="P289" w:history="1">
        <w:r w:rsidRPr="002C52C5">
          <w:rPr>
            <w:rFonts w:ascii="Times New Roman" w:hAnsi="Times New Roman" w:cs="Times New Roman"/>
            <w:sz w:val="24"/>
            <w:szCs w:val="24"/>
          </w:rPr>
          <w:t>пункте 53</w:t>
        </w:r>
      </w:hyperlink>
      <w:r w:rsidRPr="002C52C5">
        <w:rPr>
          <w:rFonts w:ascii="Times New Roman" w:hAnsi="Times New Roman" w:cs="Times New Roman"/>
          <w:sz w:val="24"/>
          <w:szCs w:val="24"/>
        </w:rP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>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>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ее строительства, реконструкции);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водоснабжения и водоотведения, оказываемых в электронном виде субъектами естественных монополий 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организациями физическим и юридическим лицам.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VIII. Повышение уровня информированности субъектов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предпринимательской деятельности и потребителей товаров,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работ, услуг о состоянии конкуренции и деятельности</w:t>
      </w:r>
    </w:p>
    <w:p w:rsidR="00553005" w:rsidRPr="002C52C5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по содействию развитию конкуренции</w:t>
      </w:r>
    </w:p>
    <w:p w:rsidR="00553005" w:rsidRPr="002C52C5" w:rsidRDefault="005530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</w:t>
      </w:r>
      <w:proofErr w:type="spellStart"/>
      <w:proofErr w:type="gramStart"/>
      <w:r w:rsidRPr="002C52C5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На официальном сайте уполномоченного органа в сети "Интернет" и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2C52C5">
        <w:rPr>
          <w:rFonts w:ascii="Times New Roman" w:hAnsi="Times New Roman" w:cs="Times New Roman"/>
          <w:sz w:val="24"/>
          <w:szCs w:val="24"/>
        </w:rPr>
        <w:t xml:space="preserve">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схемы) и показателей эффективности региональной программы, в рамках которой осуществляется эта деятельность.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58.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 xml:space="preserve">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</w:t>
      </w:r>
      <w:r w:rsidRPr="002C52C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</w:t>
      </w:r>
      <w:proofErr w:type="spellStart"/>
      <w:r w:rsidRPr="002C52C5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proofErr w:type="gramEnd"/>
      <w:r w:rsidRPr="002C52C5">
        <w:rPr>
          <w:rFonts w:ascii="Times New Roman" w:hAnsi="Times New Roman" w:cs="Times New Roman"/>
          <w:sz w:val="24"/>
          <w:szCs w:val="24"/>
        </w:rPr>
        <w:t>: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2C5">
        <w:rPr>
          <w:rFonts w:ascii="Times New Roman" w:hAnsi="Times New Roman" w:cs="Times New Roman"/>
          <w:sz w:val="24"/>
          <w:szCs w:val="24"/>
        </w:rP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  <w:proofErr w:type="gramEnd"/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553005" w:rsidRPr="002C52C5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2C5">
        <w:rPr>
          <w:rFonts w:ascii="Times New Roman" w:hAnsi="Times New Roman" w:cs="Times New Roman"/>
          <w:sz w:val="24"/>
          <w:szCs w:val="24"/>
        </w:rPr>
        <w:t xml:space="preserve">59. В целях общественного </w:t>
      </w:r>
      <w:proofErr w:type="gramStart"/>
      <w:r w:rsidRPr="002C52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52C5">
        <w:rPr>
          <w:rFonts w:ascii="Times New Roman" w:hAnsi="Times New Roman" w:cs="Times New Roman"/>
          <w:sz w:val="24"/>
          <w:szCs w:val="24"/>
        </w:rPr>
        <w:t xml:space="preserve"> деятельностью органов исполнительной власти 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553005" w:rsidRDefault="0055300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2C52C5" w:rsidRDefault="002C52C5">
      <w:pPr>
        <w:pStyle w:val="ConsPlusNormal"/>
        <w:ind w:firstLine="540"/>
        <w:jc w:val="both"/>
      </w:pPr>
    </w:p>
    <w:p w:rsidR="00553005" w:rsidRPr="00D630A0" w:rsidRDefault="00553005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D630A0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553005" w:rsidRPr="00D630A0" w:rsidRDefault="00553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0A0">
        <w:rPr>
          <w:rFonts w:ascii="Times New Roman" w:hAnsi="Times New Roman" w:cs="Times New Roman"/>
          <w:sz w:val="20"/>
        </w:rPr>
        <w:t>к стандарту развития конкуренции</w:t>
      </w:r>
    </w:p>
    <w:p w:rsidR="00553005" w:rsidRPr="00D630A0" w:rsidRDefault="0055300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D630A0">
        <w:rPr>
          <w:rFonts w:ascii="Times New Roman" w:hAnsi="Times New Roman" w:cs="Times New Roman"/>
          <w:sz w:val="20"/>
        </w:rPr>
        <w:t>в субъектах Российской Федерации</w:t>
      </w:r>
    </w:p>
    <w:p w:rsidR="00553005" w:rsidRDefault="00553005">
      <w:pPr>
        <w:pStyle w:val="ConsPlusNormal"/>
        <w:jc w:val="center"/>
      </w:pPr>
    </w:p>
    <w:p w:rsidR="00553005" w:rsidRPr="00D630A0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23"/>
      <w:bookmarkEnd w:id="5"/>
      <w:r w:rsidRPr="00D630A0">
        <w:rPr>
          <w:rFonts w:ascii="Times New Roman" w:hAnsi="Times New Roman" w:cs="Times New Roman"/>
          <w:sz w:val="24"/>
          <w:szCs w:val="24"/>
        </w:rPr>
        <w:t>ПЕРЕЧЕНЬ</w:t>
      </w:r>
    </w:p>
    <w:p w:rsidR="00553005" w:rsidRPr="00D630A0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0A0">
        <w:rPr>
          <w:rFonts w:ascii="Times New Roman" w:hAnsi="Times New Roman" w:cs="Times New Roman"/>
          <w:sz w:val="24"/>
          <w:szCs w:val="24"/>
        </w:rPr>
        <w:t>ТОВАРНЫХ РЫНКОВ ДЛЯ СОДЕЙСТВИЯ РАЗВИТИЮ КОНКУРЕНЦИИ</w:t>
      </w:r>
    </w:p>
    <w:p w:rsidR="00553005" w:rsidRPr="00D630A0" w:rsidRDefault="005530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30A0">
        <w:rPr>
          <w:rFonts w:ascii="Times New Roman" w:hAnsi="Times New Roman" w:cs="Times New Roman"/>
          <w:sz w:val="24"/>
          <w:szCs w:val="24"/>
        </w:rPr>
        <w:t>В СУБЪЕКТЕ РОССИЙСКОЙ ФЕДЕРАЦИИ</w:t>
      </w:r>
    </w:p>
    <w:p w:rsidR="00553005" w:rsidRPr="00D630A0" w:rsidRDefault="00553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2154"/>
        <w:gridCol w:w="4769"/>
        <w:gridCol w:w="1985"/>
      </w:tblGrid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Наименование товарного рынка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Наименование ключевого показателя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Минимальное значение ключевого показателя в 2022 году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дошкольного образования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1,6, но не менее 1 частной организации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общего образования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1, но не менее 1 частной организации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среднего профессионального образования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обучающихся в частных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5, но не менее 1 частной организации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дополнительного образования детей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детского отдыха и оздоровления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медицинских услуг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Рынок услуг розничной торговли лекарственными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препаратами, медицинскими изделиями и сопутствующими товарами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сопутствующими товарами,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60</w:t>
            </w:r>
          </w:p>
        </w:tc>
      </w:tr>
      <w:tr w:rsidR="00553005" w:rsidRPr="00D630A0" w:rsidTr="00D630A0">
        <w:tc>
          <w:tcPr>
            <w:tcW w:w="510" w:type="dxa"/>
            <w:vMerge w:val="restart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2154" w:type="dxa"/>
            <w:vMerge w:val="restart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53005" w:rsidRPr="00D630A0" w:rsidTr="00D630A0">
        <w:tc>
          <w:tcPr>
            <w:tcW w:w="510" w:type="dxa"/>
            <w:vMerge/>
          </w:tcPr>
          <w:p w:rsidR="00553005" w:rsidRPr="00D630A0" w:rsidRDefault="00553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53005" w:rsidRPr="00D630A0" w:rsidRDefault="00553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социальных услуг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ритуальных услуг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теплоснабжения (производство тепловой энергии)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поставки сжиженного газа в баллонах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Рынок производства электрической энергии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630A0">
              <w:rPr>
                <w:rFonts w:ascii="Times New Roman" w:hAnsi="Times New Roman" w:cs="Times New Roman"/>
                <w:sz w:val="20"/>
              </w:rPr>
              <w:t>когенерации</w:t>
            </w:r>
            <w:proofErr w:type="spellEnd"/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доля организаций частной формы собственности в сфере производства электрической энергии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D630A0">
              <w:rPr>
                <w:rFonts w:ascii="Times New Roman" w:hAnsi="Times New Roman" w:cs="Times New Roman"/>
                <w:sz w:val="20"/>
              </w:rPr>
              <w:t>когенерации</w:t>
            </w:r>
            <w:proofErr w:type="spellEnd"/>
            <w:r w:rsidRPr="00D630A0">
              <w:rPr>
                <w:rFonts w:ascii="Times New Roman" w:hAnsi="Times New Roman" w:cs="Times New Roman"/>
                <w:sz w:val="20"/>
              </w:rPr>
              <w:t>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30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оказания услуг по ремонту автотранспортных средств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  <w:tr w:rsidR="00553005" w:rsidRPr="00D630A0" w:rsidTr="00D630A0">
        <w:tc>
          <w:tcPr>
            <w:tcW w:w="510" w:type="dxa"/>
            <w:vMerge w:val="restart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2154" w:type="dxa"/>
            <w:vMerge w:val="restart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  <w:vMerge/>
          </w:tcPr>
          <w:p w:rsidR="00553005" w:rsidRPr="00D630A0" w:rsidRDefault="00553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53005" w:rsidRPr="00D630A0" w:rsidRDefault="005530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Рынок строительства объектов капитального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строительства, за исключением жилищного и дорожного строительства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доля организаций частной формы собственности в сфере строительства объектов капитального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строительства, за исключением жилищного и дорожного строительства,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25.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архитектурно-строительного проектирования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кадастровых и землеустроительных работ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реализации сельскохозяйственной продукции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племенного животноводства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семеноводства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вылова водных биоресурсов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переработки водных биоресурсов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Рынок </w:t>
            </w:r>
            <w:proofErr w:type="gramStart"/>
            <w:r w:rsidRPr="00D630A0">
              <w:rPr>
                <w:rFonts w:ascii="Times New Roman" w:hAnsi="Times New Roman" w:cs="Times New Roman"/>
                <w:sz w:val="20"/>
              </w:rPr>
              <w:t>товарной</w:t>
            </w:r>
            <w:proofErr w:type="gramEnd"/>
            <w:r w:rsidRPr="00D630A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630A0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доля организаций частной формы собственности на рынке товарной </w:t>
            </w:r>
            <w:proofErr w:type="spellStart"/>
            <w:r w:rsidRPr="00D630A0">
              <w:rPr>
                <w:rFonts w:ascii="Times New Roman" w:hAnsi="Times New Roman" w:cs="Times New Roman"/>
                <w:sz w:val="20"/>
              </w:rPr>
              <w:t>аквакультуры</w:t>
            </w:r>
            <w:proofErr w:type="spellEnd"/>
            <w:r w:rsidRPr="00D630A0">
              <w:rPr>
                <w:rFonts w:ascii="Times New Roman" w:hAnsi="Times New Roman" w:cs="Times New Roman"/>
                <w:sz w:val="20"/>
              </w:rPr>
              <w:t>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35.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80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36.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нефтепродуктов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90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37.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легкой промышленности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38.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39.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 xml:space="preserve">Рынок производства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кирпича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 xml:space="preserve">доля организаций частной формы собственности в </w:t>
            </w: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сфере производства кирпича,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70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lastRenderedPageBreak/>
              <w:t>40.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Рынок производства бетона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70</w:t>
            </w:r>
          </w:p>
        </w:tc>
      </w:tr>
      <w:tr w:rsidR="00553005" w:rsidRPr="00D630A0" w:rsidTr="00D630A0">
        <w:tc>
          <w:tcPr>
            <w:tcW w:w="510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41.</w:t>
            </w:r>
          </w:p>
        </w:tc>
        <w:tc>
          <w:tcPr>
            <w:tcW w:w="2154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Сфера наружной рекламы</w:t>
            </w:r>
          </w:p>
        </w:tc>
        <w:tc>
          <w:tcPr>
            <w:tcW w:w="4769" w:type="dxa"/>
          </w:tcPr>
          <w:p w:rsidR="00553005" w:rsidRPr="00D630A0" w:rsidRDefault="0055300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985" w:type="dxa"/>
          </w:tcPr>
          <w:p w:rsidR="00553005" w:rsidRPr="00D630A0" w:rsidRDefault="0055300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30A0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</w:tbl>
    <w:p w:rsidR="005563EA" w:rsidRDefault="005563EA"/>
    <w:sectPr w:rsidR="005563EA" w:rsidSect="0055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3005"/>
    <w:rsid w:val="00235B22"/>
    <w:rsid w:val="002C475F"/>
    <w:rsid w:val="002C52C5"/>
    <w:rsid w:val="002E7E50"/>
    <w:rsid w:val="00306FD2"/>
    <w:rsid w:val="00322C22"/>
    <w:rsid w:val="003540FB"/>
    <w:rsid w:val="004633E2"/>
    <w:rsid w:val="00553005"/>
    <w:rsid w:val="005563EA"/>
    <w:rsid w:val="00601051"/>
    <w:rsid w:val="006E258E"/>
    <w:rsid w:val="007F5513"/>
    <w:rsid w:val="00D6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30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005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300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1C23BE39E5CC5BA6B7E2C6CEFD920F3AB6844067B1FC3BE827FF8539C49EB3E0816E1570DBEA3E5932555B57C74505DC9E1D6B6h8VFJ" TargetMode="External"/><Relationship Id="rId13" Type="http://schemas.openxmlformats.org/officeDocument/2006/relationships/hyperlink" Target="consultantplus://offline/ref=E601C23BE39E5CC5BA6B7E2C6CEFD920F1A06F4A08711FC3BE827FF8539C49EB3E0816E3520FB5F6BCDC2409F12D67515BC9E2D4A984B59Bh6V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1C23BE39E5CC5BA6B7E2C6CEFD920F2A16F4B08751FC3BE827FF8539C49EB3E0816E3520FB5F3B6DC2409F12D67515BC9E2D4A984B59Bh6V6J" TargetMode="External"/><Relationship Id="rId12" Type="http://schemas.openxmlformats.org/officeDocument/2006/relationships/hyperlink" Target="consultantplus://offline/ref=E601C23BE39E5CC5BA6B7E2C6CEFD920F2AE624501701FC3BE827FF8539C49EB3E0816E3520FB5F6B5DC2409F12D67515BC9E2D4A984B59Bh6V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01C23BE39E5CC5BA6B7E2C6CEFD920F2A16F4B08751FC3BE827FF8539C49EB3E0816E3520FB5F4BCDC2409F12D67515BC9E2D4A984B59Bh6V6J" TargetMode="External"/><Relationship Id="rId11" Type="http://schemas.openxmlformats.org/officeDocument/2006/relationships/hyperlink" Target="consultantplus://offline/ref=E601C23BE39E5CC5BA6B7E2C6CEFD920F3AA6A4E06741FC3BE827FF8539C49EB2C084EEF520BABF6B6C97258B4h7V1J" TargetMode="External"/><Relationship Id="rId5" Type="http://schemas.openxmlformats.org/officeDocument/2006/relationships/hyperlink" Target="consultantplus://offline/ref=E601C23BE39E5CC5BA6B7E2C6CEFD920F2A96E44027B1FC3BE827FF8539C49EB2C084EEF520BABF6B6C97258B4h7V1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01C23BE39E5CC5BA6B7E2C6CEFD920F3AA6A4E06741FC3BE827FF8539C49EB2C084EEF520BABF6B6C97258B4h7V1J" TargetMode="External"/><Relationship Id="rId4" Type="http://schemas.openxmlformats.org/officeDocument/2006/relationships/hyperlink" Target="consultantplus://offline/ref=E601C23BE39E5CC5BA6B7E2C6CEFD920F2A96E4409751FC3BE827FF8539C49EB2C084EEF520BABF6B6C97258B4h7V1J" TargetMode="External"/><Relationship Id="rId9" Type="http://schemas.openxmlformats.org/officeDocument/2006/relationships/hyperlink" Target="consultantplus://offline/ref=E601C23BE39E5CC5BA6B7E2C6CEFD920F3AB6844067B1FC3BE827FF8539C49EB3E0816E3520FB4F2B7DC2409F12D67515BC9E2D4A984B59Bh6V6J" TargetMode="External"/><Relationship Id="rId14" Type="http://schemas.openxmlformats.org/officeDocument/2006/relationships/hyperlink" Target="consultantplus://offline/ref=E601C23BE39E5CC5BA6B7E2C6CEFD920F2A96E4E06741FC3BE827FF8539C49EB3E0816E3520FB5F6B7DC2409F12D67515BC9E2D4A984B59Bh6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12706</Words>
  <Characters>72425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1</cp:revision>
  <dcterms:created xsi:type="dcterms:W3CDTF">2019-12-04T09:21:00Z</dcterms:created>
  <dcterms:modified xsi:type="dcterms:W3CDTF">2019-12-04T09:26:00Z</dcterms:modified>
</cp:coreProperties>
</file>