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 xml:space="preserve">Сведения о выполнения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1950F1">
        <w:t xml:space="preserve">1 квартал </w:t>
      </w:r>
      <w:r>
        <w:t>20</w:t>
      </w:r>
      <w:r w:rsidR="00664846">
        <w:t>2</w:t>
      </w:r>
      <w:r w:rsidR="005F7FBE">
        <w:t>1</w:t>
      </w:r>
      <w:r>
        <w:t xml:space="preserve"> год</w:t>
      </w:r>
      <w:r w:rsidR="001950F1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p w:rsidR="00DB38DF" w:rsidRDefault="00DB38DF" w:rsidP="00AA7798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757B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757B1B">
              <w:rPr>
                <w:sz w:val="20"/>
                <w:szCs w:val="20"/>
              </w:rPr>
              <w:t>1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proofErr w:type="gramStart"/>
            <w:r w:rsidRPr="00880EAE">
              <w:rPr>
                <w:sz w:val="20"/>
                <w:szCs w:val="20"/>
              </w:rPr>
              <w:t xml:space="preserve">Ожидаемый </w:t>
            </w:r>
            <w:proofErr w:type="gramEnd"/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</w:p>
        </w:tc>
        <w:tc>
          <w:tcPr>
            <w:tcW w:w="1149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602,500</w:t>
            </w:r>
          </w:p>
        </w:tc>
        <w:tc>
          <w:tcPr>
            <w:tcW w:w="1420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ind w:right="-108"/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</w:p>
          <w:p w:rsidR="00255F52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экологической культуры в Асб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стовском городском округе; пов</w:t>
            </w:r>
            <w:r w:rsidRPr="008C5AB8">
              <w:rPr>
                <w:sz w:val="24"/>
                <w:szCs w:val="24"/>
              </w:rPr>
              <w:t>ы</w:t>
            </w:r>
            <w:r w:rsidRPr="008C5AB8">
              <w:rPr>
                <w:sz w:val="24"/>
                <w:szCs w:val="24"/>
              </w:rPr>
              <w:t>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51318F">
        <w:trPr>
          <w:trHeight w:val="2485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ческий субботник «Зеленая Россия», «Цветущий школьный двор», «Аллея России», «Чистый двор», «Очистим </w:t>
            </w:r>
            <w:r w:rsidRPr="008C5AB8">
              <w:rPr>
                <w:sz w:val="24"/>
                <w:szCs w:val="24"/>
              </w:rPr>
              <w:lastRenderedPageBreak/>
              <w:t>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мой», «100 добрых дел для Заповедной России»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proofErr w:type="gramStart"/>
            <w:r w:rsidRPr="008C5AB8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20,000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74,9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176,00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2024 года» подпрограммы 3. "Благоустройство территории Асбестовского городского округа"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2 164,60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702</w:t>
            </w:r>
            <w:r w:rsidRPr="008C5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C5AB8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A43BFD" w:rsidRPr="00255F52" w:rsidRDefault="00A43BFD" w:rsidP="00255F52">
      <w:pPr>
        <w:ind w:left="-426" w:firstLine="710"/>
        <w:jc w:val="both"/>
        <w:rPr>
          <w:rFonts w:eastAsia="SimSun"/>
          <w:sz w:val="18"/>
          <w:szCs w:val="18"/>
        </w:rPr>
      </w:pPr>
    </w:p>
    <w:sectPr w:rsidR="00A43BFD" w:rsidRPr="00255F52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17" w:rsidRDefault="00A06C17" w:rsidP="00657174">
      <w:r>
        <w:separator/>
      </w:r>
    </w:p>
  </w:endnote>
  <w:endnote w:type="continuationSeparator" w:id="0">
    <w:p w:rsidR="00A06C17" w:rsidRDefault="00A06C17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17" w:rsidRDefault="00A06C17" w:rsidP="00657174">
      <w:r>
        <w:separator/>
      </w:r>
    </w:p>
  </w:footnote>
  <w:footnote w:type="continuationSeparator" w:id="0">
    <w:p w:rsidR="00A06C17" w:rsidRDefault="00A06C17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55CF2"/>
    <w:rsid w:val="00255F52"/>
    <w:rsid w:val="00273732"/>
    <w:rsid w:val="0028554C"/>
    <w:rsid w:val="00286377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63F2"/>
    <w:rsid w:val="00371721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521F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67E3C"/>
    <w:rsid w:val="00571120"/>
    <w:rsid w:val="0057402A"/>
    <w:rsid w:val="0058303E"/>
    <w:rsid w:val="00584F90"/>
    <w:rsid w:val="005904E1"/>
    <w:rsid w:val="00593AE6"/>
    <w:rsid w:val="005A1501"/>
    <w:rsid w:val="005C7379"/>
    <w:rsid w:val="005D062B"/>
    <w:rsid w:val="005D3042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423ED"/>
    <w:rsid w:val="007536E7"/>
    <w:rsid w:val="00757B1B"/>
    <w:rsid w:val="007752A4"/>
    <w:rsid w:val="00777E6A"/>
    <w:rsid w:val="00786D31"/>
    <w:rsid w:val="007A3F55"/>
    <w:rsid w:val="007B364D"/>
    <w:rsid w:val="007C1493"/>
    <w:rsid w:val="007C4907"/>
    <w:rsid w:val="007C569A"/>
    <w:rsid w:val="007C5D09"/>
    <w:rsid w:val="007E2C00"/>
    <w:rsid w:val="007F3501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61D1"/>
    <w:rsid w:val="00880EAE"/>
    <w:rsid w:val="00881FA9"/>
    <w:rsid w:val="008865BD"/>
    <w:rsid w:val="00891A29"/>
    <w:rsid w:val="008C33F6"/>
    <w:rsid w:val="008E1794"/>
    <w:rsid w:val="008E1DC8"/>
    <w:rsid w:val="008E370B"/>
    <w:rsid w:val="00910893"/>
    <w:rsid w:val="009401CC"/>
    <w:rsid w:val="00950765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A06C17"/>
    <w:rsid w:val="00A10571"/>
    <w:rsid w:val="00A118CC"/>
    <w:rsid w:val="00A17098"/>
    <w:rsid w:val="00A17736"/>
    <w:rsid w:val="00A26554"/>
    <w:rsid w:val="00A43BFD"/>
    <w:rsid w:val="00A5118C"/>
    <w:rsid w:val="00A5167A"/>
    <w:rsid w:val="00A72F5E"/>
    <w:rsid w:val="00A868A7"/>
    <w:rsid w:val="00A95F05"/>
    <w:rsid w:val="00AA0A94"/>
    <w:rsid w:val="00AA7798"/>
    <w:rsid w:val="00AA7D02"/>
    <w:rsid w:val="00AB5EB1"/>
    <w:rsid w:val="00AC4575"/>
    <w:rsid w:val="00AC4EF8"/>
    <w:rsid w:val="00AC64AE"/>
    <w:rsid w:val="00AC6EDD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7E44"/>
    <w:rsid w:val="00B93237"/>
    <w:rsid w:val="00B971C9"/>
    <w:rsid w:val="00B97B21"/>
    <w:rsid w:val="00BA1628"/>
    <w:rsid w:val="00BA175A"/>
    <w:rsid w:val="00BB4974"/>
    <w:rsid w:val="00BB7434"/>
    <w:rsid w:val="00BD0BDA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907F4"/>
    <w:rsid w:val="00CB2D97"/>
    <w:rsid w:val="00CC3129"/>
    <w:rsid w:val="00CD10E2"/>
    <w:rsid w:val="00CE2B61"/>
    <w:rsid w:val="00CE2D49"/>
    <w:rsid w:val="00CE545E"/>
    <w:rsid w:val="00D036A9"/>
    <w:rsid w:val="00D4193D"/>
    <w:rsid w:val="00D4275F"/>
    <w:rsid w:val="00D45F78"/>
    <w:rsid w:val="00D463F7"/>
    <w:rsid w:val="00D51E65"/>
    <w:rsid w:val="00D54F06"/>
    <w:rsid w:val="00D55BF4"/>
    <w:rsid w:val="00D7160E"/>
    <w:rsid w:val="00D82FE3"/>
    <w:rsid w:val="00D865BE"/>
    <w:rsid w:val="00D86B24"/>
    <w:rsid w:val="00DB38DF"/>
    <w:rsid w:val="00DB406B"/>
    <w:rsid w:val="00DC05DE"/>
    <w:rsid w:val="00DC642D"/>
    <w:rsid w:val="00DE349B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6529B"/>
    <w:rsid w:val="00E85946"/>
    <w:rsid w:val="00E87495"/>
    <w:rsid w:val="00E93FFE"/>
    <w:rsid w:val="00EA4384"/>
    <w:rsid w:val="00EA6910"/>
    <w:rsid w:val="00EC6AAA"/>
    <w:rsid w:val="00ED2722"/>
    <w:rsid w:val="00EE1DF1"/>
    <w:rsid w:val="00EE20AD"/>
    <w:rsid w:val="00EE5B5B"/>
    <w:rsid w:val="00F16466"/>
    <w:rsid w:val="00F21760"/>
    <w:rsid w:val="00F30F91"/>
    <w:rsid w:val="00F363D5"/>
    <w:rsid w:val="00F45279"/>
    <w:rsid w:val="00F475C9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096D-4EE2-48A6-B44F-CCEA107F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4</cp:revision>
  <cp:lastPrinted>2021-04-06T04:14:00Z</cp:lastPrinted>
  <dcterms:created xsi:type="dcterms:W3CDTF">2021-04-06T04:08:00Z</dcterms:created>
  <dcterms:modified xsi:type="dcterms:W3CDTF">2021-04-06T04:23:00Z</dcterms:modified>
</cp:coreProperties>
</file>