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DD" w:rsidRDefault="009064B4" w:rsidP="0044608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4608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 В</w:t>
      </w:r>
      <w:r w:rsidR="00471650">
        <w:rPr>
          <w:rFonts w:ascii="Times New Roman" w:eastAsia="Calibri" w:hAnsi="Times New Roman"/>
          <w:b/>
        </w:rPr>
        <w:t xml:space="preserve"> </w:t>
      </w:r>
      <w:r w:rsidR="00471650" w:rsidRPr="00471650">
        <w:rPr>
          <w:rFonts w:ascii="Times New Roman" w:eastAsia="Calibri" w:hAnsi="Times New Roman"/>
          <w:b/>
          <w:u w:val="single"/>
        </w:rPr>
        <w:t>АСБЕСТОВСКИЙ ГОРОДСКОЙ ОКРУГ</w:t>
      </w:r>
      <w:proofErr w:type="gramEnd"/>
    </w:p>
    <w:p w:rsidR="007964DD" w:rsidRPr="007964DD" w:rsidRDefault="00471650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    </w:t>
      </w:r>
      <w:r w:rsidR="007964DD">
        <w:rPr>
          <w:rFonts w:ascii="Times New Roman" w:eastAsia="Calibri" w:hAnsi="Times New Roman"/>
          <w:i/>
        </w:rPr>
        <w:t xml:space="preserve">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 w:rsidR="007964DD">
        <w:rPr>
          <w:rFonts w:ascii="Times New Roman" w:eastAsia="Calibri" w:hAnsi="Times New Roman"/>
          <w:i/>
        </w:rPr>
        <w:t>)</w:t>
      </w: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1816"/>
        <w:gridCol w:w="1631"/>
        <w:gridCol w:w="2004"/>
        <w:gridCol w:w="2088"/>
        <w:gridCol w:w="1980"/>
        <w:gridCol w:w="1939"/>
        <w:gridCol w:w="1881"/>
        <w:gridCol w:w="2115"/>
      </w:tblGrid>
      <w:tr w:rsidR="00C47FC4" w:rsidRPr="00C47FC4" w:rsidTr="00A8140F">
        <w:trPr>
          <w:trHeight w:val="1042"/>
          <w:tblHeader/>
        </w:trPr>
        <w:tc>
          <w:tcPr>
            <w:tcW w:w="564" w:type="dxa"/>
            <w:vAlign w:val="center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16" w:type="dxa"/>
            <w:vAlign w:val="center"/>
          </w:tcPr>
          <w:p w:rsidR="00C74F24" w:rsidRPr="00C47FC4" w:rsidRDefault="00C74F24" w:rsidP="00486F9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органа</w:t>
            </w:r>
            <w:r w:rsidR="00A6270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адрес которого 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направлено обращение заявителем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C74F24" w:rsidRPr="00C47FC4" w:rsidRDefault="00C74F24" w:rsidP="005B7B0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обращения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482AE0" w:rsidRPr="00C47FC4" w:rsidRDefault="00C74F24" w:rsidP="009064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r w:rsidR="005442E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населённый пункт), 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ФИО</w:t>
            </w:r>
            <w:r w:rsidR="005442E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заявителя</w:t>
            </w:r>
            <w:r w:rsidR="004827D9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или</w:t>
            </w:r>
            <w:r w:rsidR="0081305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482AE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 w:rsidR="00486F90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</w:t>
            </w:r>
          </w:p>
          <w:p w:rsidR="00482AE0" w:rsidRPr="00C47FC4" w:rsidRDefault="00482AE0" w:rsidP="009064B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827D9" w:rsidRPr="00C47FC4" w:rsidRDefault="004827D9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</w:t>
            </w:r>
            <w:r w:rsidR="00941A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 служащем (работнике), </w:t>
            </w:r>
            <w:r w:rsidR="00941A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действиях </w:t>
            </w:r>
            <w:r w:rsidR="006B2C1E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(бездействии)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которого заявитель усмотрел факты коррупции</w:t>
            </w:r>
          </w:p>
          <w:p w:rsidR="00C74F24" w:rsidRPr="00C47FC4" w:rsidRDefault="003D2B88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74F24" w:rsidRPr="00C47FC4" w:rsidRDefault="00A6270D" w:rsidP="00C74F2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Краткое с</w:t>
            </w:r>
            <w:r w:rsidR="00C74F24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одержание обращения,</w:t>
            </w:r>
          </w:p>
          <w:p w:rsidR="00C74F24" w:rsidRPr="00C47FC4" w:rsidRDefault="00C74F24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норма закона, которую, по мнению заявителя</w:t>
            </w:r>
            <w:r w:rsidR="003D2B88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нарушил </w:t>
            </w:r>
            <w:r w:rsidR="00ED5F37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государственный (муниципальный)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служащий (работник)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</w:t>
            </w:r>
            <w:proofErr w:type="gramEnd"/>
          </w:p>
        </w:tc>
        <w:tc>
          <w:tcPr>
            <w:tcW w:w="1939" w:type="dxa"/>
            <w:vAlign w:val="center"/>
          </w:tcPr>
          <w:p w:rsidR="00BE74F6" w:rsidRPr="00C47FC4" w:rsidRDefault="00C74F24" w:rsidP="0083641B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 проведении проверки (служебной проверки)</w:t>
            </w:r>
            <w:r w:rsidR="00A6270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обращению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851FB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результатах проверки, 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результатах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рассмотрени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заседании комиссии</w:t>
            </w:r>
            <w:r w:rsidR="0083641B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81" w:type="dxa"/>
          </w:tcPr>
          <w:p w:rsidR="00C74F24" w:rsidRPr="00C47FC4" w:rsidRDefault="0056652D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Сведения о привлечении </w:t>
            </w:r>
            <w:r w:rsidR="00ED5F37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государственного (муниципального)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служащего</w:t>
            </w:r>
            <w:r w:rsidR="001B4A05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(работника)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 ответственности</w:t>
            </w:r>
          </w:p>
          <w:p w:rsidR="0093364E" w:rsidRPr="00C47FC4" w:rsidRDefault="0093364E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 указанием </w:t>
            </w:r>
          </w:p>
          <w:p w:rsidR="0093364E" w:rsidRPr="00C47FC4" w:rsidRDefault="0093364E" w:rsidP="00ED5F3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вида наказания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******</w:t>
            </w:r>
          </w:p>
        </w:tc>
        <w:tc>
          <w:tcPr>
            <w:tcW w:w="2115" w:type="dxa"/>
          </w:tcPr>
          <w:p w:rsidR="00C74F24" w:rsidRPr="00C47FC4" w:rsidRDefault="00F325E5" w:rsidP="003D21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Реквизиты ответа заявителю, </w:t>
            </w:r>
            <w:r w:rsidR="0056652D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переадресации обращения по компетенции</w:t>
            </w:r>
            <w:r w:rsidR="00B15B1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***</w:t>
            </w:r>
            <w:r w:rsidR="00B3300F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83641B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EE5963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*</w:t>
            </w:r>
          </w:p>
          <w:p w:rsidR="00F325E5" w:rsidRPr="00C47FC4" w:rsidRDefault="00F325E5" w:rsidP="00F325E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(в том числе наличие ответа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 результатах рассмотрения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в органах, в которые обращение переадресовано 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по компетенции</w:t>
            </w:r>
            <w:r w:rsidR="006B2C1E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515F6C"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 указанием результата рассмотрения обращения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47FC4" w:rsidRPr="00C47FC4" w:rsidTr="00A8140F">
        <w:trPr>
          <w:trHeight w:val="209"/>
          <w:tblHeader/>
        </w:trPr>
        <w:tc>
          <w:tcPr>
            <w:tcW w:w="564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851FB5" w:rsidRPr="00C47FC4" w:rsidRDefault="00851FB5" w:rsidP="005B7B0F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81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vAlign w:val="center"/>
          </w:tcPr>
          <w:p w:rsidR="00851FB5" w:rsidRPr="00C47FC4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6F90" w:rsidRPr="00C47FC4" w:rsidTr="00A8140F">
        <w:trPr>
          <w:trHeight w:val="222"/>
        </w:trPr>
        <w:tc>
          <w:tcPr>
            <w:tcW w:w="12022" w:type="dxa"/>
            <w:gridSpan w:val="7"/>
            <w:shd w:val="clear" w:color="auto" w:fill="FFC000"/>
            <w:vAlign w:val="center"/>
          </w:tcPr>
          <w:p w:rsidR="00C74F24" w:rsidRPr="00C47FC4" w:rsidRDefault="00D9104F" w:rsidP="005B7B0F">
            <w:pPr>
              <w:ind w:right="-3767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I</w:t>
            </w:r>
            <w:r w:rsidR="00C74F24" w:rsidRPr="00C47FC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квартал </w:t>
            </w:r>
          </w:p>
        </w:tc>
        <w:tc>
          <w:tcPr>
            <w:tcW w:w="1881" w:type="dxa"/>
            <w:shd w:val="clear" w:color="auto" w:fill="FFC000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C000"/>
          </w:tcPr>
          <w:p w:rsidR="00C74F24" w:rsidRPr="00C47FC4" w:rsidRDefault="00C74F24" w:rsidP="00407A6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47FC4" w:rsidRPr="00C47FC4" w:rsidTr="00A8140F">
        <w:trPr>
          <w:trHeight w:val="273"/>
        </w:trPr>
        <w:tc>
          <w:tcPr>
            <w:tcW w:w="564" w:type="dxa"/>
          </w:tcPr>
          <w:p w:rsidR="00C74F24" w:rsidRPr="00C47FC4" w:rsidRDefault="00BE2E2D" w:rsidP="00B65164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16" w:type="dxa"/>
          </w:tcPr>
          <w:p w:rsidR="00C74F24" w:rsidRPr="00C47FC4" w:rsidRDefault="00BE2E2D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Глава</w:t>
            </w:r>
          </w:p>
          <w:p w:rsidR="00BE2E2D" w:rsidRPr="00C47FC4" w:rsidRDefault="00BE2E2D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Асбестовского городского округа</w:t>
            </w:r>
          </w:p>
        </w:tc>
        <w:tc>
          <w:tcPr>
            <w:tcW w:w="1631" w:type="dxa"/>
          </w:tcPr>
          <w:p w:rsidR="00C74F24" w:rsidRPr="00C47FC4" w:rsidRDefault="00BE2E2D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Нарочным</w:t>
            </w:r>
          </w:p>
        </w:tc>
        <w:tc>
          <w:tcPr>
            <w:tcW w:w="2004" w:type="dxa"/>
            <w:shd w:val="clear" w:color="auto" w:fill="auto"/>
          </w:tcPr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Регистрационный</w:t>
            </w:r>
          </w:p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44-03-600/9</w:t>
            </w:r>
          </w:p>
          <w:p w:rsidR="00C74F2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 22.01.2019</w:t>
            </w:r>
          </w:p>
          <w:p w:rsidR="00B6516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Прокуратура</w:t>
            </w:r>
          </w:p>
          <w:p w:rsidR="00BE2E2D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г. Асбеста</w:t>
            </w:r>
          </w:p>
        </w:tc>
        <w:tc>
          <w:tcPr>
            <w:tcW w:w="2088" w:type="dxa"/>
            <w:shd w:val="clear" w:color="auto" w:fill="auto"/>
          </w:tcPr>
          <w:p w:rsidR="00C74F24" w:rsidRPr="00C47FC4" w:rsidRDefault="00BE2E2D" w:rsidP="00A27FB9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Директор </w:t>
            </w:r>
            <w:r w:rsidR="00A27FB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м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униципального предприятия </w:t>
            </w:r>
          </w:p>
        </w:tc>
        <w:tc>
          <w:tcPr>
            <w:tcW w:w="1980" w:type="dxa"/>
            <w:shd w:val="clear" w:color="auto" w:fill="auto"/>
          </w:tcPr>
          <w:p w:rsidR="00C74F24" w:rsidRPr="00C47FC4" w:rsidRDefault="00BE2E2D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Нарушение антикоррупционного законодательства в части наличия конфликта интересов у директора предприятия по отношению к главному бухгалтеру предприятия, являющемуся его дочерью</w:t>
            </w:r>
          </w:p>
        </w:tc>
        <w:tc>
          <w:tcPr>
            <w:tcW w:w="1939" w:type="dxa"/>
          </w:tcPr>
          <w:p w:rsidR="00DB102B" w:rsidRPr="00C47FC4" w:rsidRDefault="00DB102B" w:rsidP="00C47FC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Представление рассмотрено на заседании комиссии по соблюдению требований к служебному поведению </w:t>
            </w:r>
            <w:r w:rsidRPr="00C47FC4">
              <w:rPr>
                <w:rFonts w:ascii="Times New Roman" w:hAnsi="Times New Roman"/>
                <w:sz w:val="16"/>
                <w:szCs w:val="16"/>
              </w:rPr>
              <w:br/>
              <w:t>и урегулированию конфликта интересов муниципальных служащих</w:t>
            </w:r>
          </w:p>
          <w:p w:rsidR="00C74F24" w:rsidRPr="00C47FC4" w:rsidRDefault="00DB102B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Асбестовского городского округа (протокол № 02 от 12.02.2019). Решение: рекомендовать </w:t>
            </w:r>
            <w:r w:rsidR="00EC2D7C" w:rsidRPr="00C47FC4">
              <w:rPr>
                <w:rFonts w:ascii="Times New Roman" w:hAnsi="Times New Roman"/>
                <w:sz w:val="16"/>
                <w:szCs w:val="16"/>
              </w:rPr>
              <w:t>директору</w:t>
            </w:r>
            <w:r w:rsidRPr="00C47FC4">
              <w:rPr>
                <w:rFonts w:ascii="Times New Roman" w:hAnsi="Times New Roman"/>
                <w:sz w:val="16"/>
                <w:szCs w:val="16"/>
              </w:rPr>
              <w:t xml:space="preserve"> предприятия и главе Асбестовского городского округа принять меры по урегулированию конфликта интересов</w:t>
            </w:r>
          </w:p>
        </w:tc>
        <w:tc>
          <w:tcPr>
            <w:tcW w:w="1881" w:type="dxa"/>
          </w:tcPr>
          <w:p w:rsidR="00C74F24" w:rsidRPr="00C47FC4" w:rsidRDefault="00446085" w:rsidP="00A27FB9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 связи с урегулированием конфликта интересов (главный бухгалтер уволен с занимаемой должности по собственному желанию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, 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вопрос о привлечении директора предприятия е дисциплинарной ответственности находится в стадии рассмотрения</w:t>
            </w:r>
            <w:proofErr w:type="gramEnd"/>
          </w:p>
        </w:tc>
        <w:tc>
          <w:tcPr>
            <w:tcW w:w="2115" w:type="dxa"/>
          </w:tcPr>
          <w:p w:rsidR="00B65164" w:rsidRPr="00C47FC4" w:rsidRDefault="00B6516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Промежуточный ответ в прокуратуру 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 Асбеста от 20.02.2019</w:t>
            </w:r>
          </w:p>
          <w:p w:rsidR="00C74F24" w:rsidRDefault="00B6516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44-04-994/9</w:t>
            </w:r>
          </w:p>
          <w:p w:rsidR="002C3B9A" w:rsidRDefault="002C3B9A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2C3B9A" w:rsidRPr="00C47FC4" w:rsidRDefault="002C3B9A" w:rsidP="002C3B9A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твет в прокуратуру 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. Асбеста от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16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5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.2019</w:t>
            </w:r>
          </w:p>
          <w:p w:rsidR="002C3B9A" w:rsidRPr="00C47FC4" w:rsidRDefault="002C3B9A" w:rsidP="00A27FB9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44-04-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2743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/9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по завершению рассмотрения обращения. 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Директор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у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предприятия </w:t>
            </w: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объявлен выговор, конфликт интересов устранен.</w:t>
            </w:r>
          </w:p>
        </w:tc>
      </w:tr>
      <w:tr w:rsidR="00C47FC4" w:rsidRPr="00C47FC4" w:rsidTr="00A8140F">
        <w:trPr>
          <w:trHeight w:val="263"/>
        </w:trPr>
        <w:tc>
          <w:tcPr>
            <w:tcW w:w="564" w:type="dxa"/>
          </w:tcPr>
          <w:p w:rsidR="00EC2D7C" w:rsidRPr="00C47FC4" w:rsidRDefault="00EC2D7C" w:rsidP="00A8140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16" w:type="dxa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</w:rPr>
              <w:t>Глава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</w:rPr>
              <w:t>Асбестовского городского округа</w:t>
            </w:r>
          </w:p>
        </w:tc>
        <w:tc>
          <w:tcPr>
            <w:tcW w:w="1631" w:type="dxa"/>
          </w:tcPr>
          <w:p w:rsidR="00EC2D7C" w:rsidRPr="00C47FC4" w:rsidRDefault="00EC2D7C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Нарочным</w:t>
            </w:r>
          </w:p>
        </w:tc>
        <w:tc>
          <w:tcPr>
            <w:tcW w:w="2004" w:type="dxa"/>
            <w:shd w:val="clear" w:color="auto" w:fill="auto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Регистрационный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№ 44-03-12856/8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 26.12.2018</w:t>
            </w:r>
          </w:p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Следственный отдел по городу Асбест СУ СК России по Свердловской области</w:t>
            </w:r>
          </w:p>
        </w:tc>
        <w:tc>
          <w:tcPr>
            <w:tcW w:w="2088" w:type="dxa"/>
            <w:shd w:val="clear" w:color="auto" w:fill="auto"/>
          </w:tcPr>
          <w:p w:rsidR="00EC2D7C" w:rsidRPr="00C47FC4" w:rsidRDefault="00EC2D7C" w:rsidP="00A27FB9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Директор Муниципального предприятия </w:t>
            </w:r>
          </w:p>
        </w:tc>
        <w:tc>
          <w:tcPr>
            <w:tcW w:w="1980" w:type="dxa"/>
            <w:shd w:val="clear" w:color="auto" w:fill="auto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Следственным отделом по городу Асбест расследуется уголовное дело по обвинению директора предприятия в совершении преступлений, предусмотренных 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. 3 ст. 2014, ч. 3 ст. 30, ч. 3 ст. 159 УК РФ </w:t>
            </w:r>
          </w:p>
        </w:tc>
        <w:tc>
          <w:tcPr>
            <w:tcW w:w="1939" w:type="dxa"/>
          </w:tcPr>
          <w:p w:rsidR="00EC2D7C" w:rsidRPr="00C47FC4" w:rsidRDefault="00EC2D7C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Представление рассмотрено на совещании при</w:t>
            </w:r>
            <w:proofErr w:type="gramStart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ервом заместителе главы администрации Асбестовского городского округа</w:t>
            </w:r>
            <w:r w:rsidR="00C47FC4"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.</w:t>
            </w:r>
            <w:r w:rsid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Решение: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1) рекомендовать главе Асбестовского городского округа применить меры </w:t>
            </w:r>
            <w:r w:rsidRPr="00C47FC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дисциплинарного взыскания к директору </w:t>
            </w:r>
            <w:r w:rsidR="00A27FB9">
              <w:rPr>
                <w:rFonts w:ascii="Times New Roman" w:hAnsi="Times New Roman"/>
                <w:sz w:val="16"/>
                <w:szCs w:val="16"/>
              </w:rPr>
              <w:t>предприятия</w:t>
            </w:r>
            <w:r w:rsidRPr="00C47FC4">
              <w:rPr>
                <w:rFonts w:ascii="Times New Roman" w:hAnsi="Times New Roman"/>
                <w:sz w:val="16"/>
                <w:szCs w:val="16"/>
              </w:rPr>
              <w:t>, вплоть до увольнения в связи утратой доверия (основание:                      п.7.1. ст. 81 ТК РФ);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</w:rPr>
              <w:t xml:space="preserve">2) рекомендовать Комиссии по противодействию коррупции Асбестовского городского округа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разработать план организационных действий и внести в план реализации Программы противодействия коррупции в Асбестовском городском округе на 2016-2020 </w:t>
            </w:r>
            <w:proofErr w:type="gramStart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>годы</w:t>
            </w:r>
            <w:proofErr w:type="gramEnd"/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соответствующие изменения и дополнения, в части проверок соблюдения руководителями муниципальных организаций мер по предупреждению конфликта интересов, если стороной сделок выступает в качестве выгодоприобретателя руководитель;</w:t>
            </w:r>
          </w:p>
          <w:p w:rsidR="00C47FC4" w:rsidRPr="00C47FC4" w:rsidRDefault="00C47FC4" w:rsidP="00C47FC4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3) уведомить руководителей </w:t>
            </w:r>
            <w:r w:rsidRPr="00C47FC4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муниципальных организаций на ежемесячном совещании, проводимом в администрации Асбестовского городского округа, о недопустимости участия руководителей в совершении сделок при наличии конфликта интересов и непринятии мер по его урегулированию.</w:t>
            </w:r>
          </w:p>
        </w:tc>
        <w:tc>
          <w:tcPr>
            <w:tcW w:w="1881" w:type="dxa"/>
          </w:tcPr>
          <w:p w:rsidR="00EC2D7C" w:rsidRPr="00C47FC4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lastRenderedPageBreak/>
              <w:t>Решение о привлечении директора предприятия к дисциплинарной ответственности будет принято после получения решения суда в отношении директора предприятия</w:t>
            </w:r>
          </w:p>
        </w:tc>
        <w:tc>
          <w:tcPr>
            <w:tcW w:w="2115" w:type="dxa"/>
          </w:tcPr>
          <w:p w:rsidR="00EC2D7C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Ответ в Следственный отдел по городу Асбест от 28.01.2019 № 44-04-468/9</w:t>
            </w:r>
          </w:p>
          <w:p w:rsidR="00C47FC4" w:rsidRPr="00C47FC4" w:rsidRDefault="00C47FC4" w:rsidP="00C47FC4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EC2D7C" w:rsidRPr="00C47FC4" w:rsidTr="00A8140F">
        <w:tc>
          <w:tcPr>
            <w:tcW w:w="12022" w:type="dxa"/>
            <w:gridSpan w:val="7"/>
            <w:shd w:val="clear" w:color="auto" w:fill="FFC000"/>
            <w:vAlign w:val="center"/>
          </w:tcPr>
          <w:p w:rsidR="00EC2D7C" w:rsidRPr="00C47FC4" w:rsidRDefault="00EC2D7C" w:rsidP="005B7B0F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lastRenderedPageBreak/>
              <w:t>II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 </w:t>
            </w:r>
          </w:p>
        </w:tc>
        <w:tc>
          <w:tcPr>
            <w:tcW w:w="1881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C000"/>
          </w:tcPr>
          <w:p w:rsidR="00EC2D7C" w:rsidRPr="00C47FC4" w:rsidRDefault="00EC2D7C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F20958" w:rsidRPr="00C47FC4" w:rsidTr="00F20958">
        <w:trPr>
          <w:trHeight w:val="327"/>
        </w:trPr>
        <w:tc>
          <w:tcPr>
            <w:tcW w:w="564" w:type="dxa"/>
            <w:vAlign w:val="center"/>
          </w:tcPr>
          <w:p w:rsidR="00F20958" w:rsidRPr="00C47FC4" w:rsidRDefault="00F20958" w:rsidP="00F2095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20958" w:rsidRPr="00C47FC4" w:rsidRDefault="00F20958" w:rsidP="00F2095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31" w:type="dxa"/>
            <w:vAlign w:val="center"/>
          </w:tcPr>
          <w:p w:rsidR="00F20958" w:rsidRPr="00C47FC4" w:rsidRDefault="00F20958" w:rsidP="005B7B0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39" w:type="dxa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1" w:type="dxa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15" w:type="dxa"/>
            <w:vAlign w:val="center"/>
          </w:tcPr>
          <w:p w:rsidR="00F20958" w:rsidRPr="00C47FC4" w:rsidRDefault="00F20958" w:rsidP="00D2384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F20958" w:rsidRPr="00C47FC4" w:rsidTr="00A8140F">
        <w:tc>
          <w:tcPr>
            <w:tcW w:w="564" w:type="dxa"/>
            <w:vAlign w:val="center"/>
          </w:tcPr>
          <w:p w:rsidR="00F20958" w:rsidRPr="00C47FC4" w:rsidRDefault="00F20958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20958" w:rsidRPr="00C47FC4" w:rsidRDefault="00F20958" w:rsidP="007F33D2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F20958" w:rsidRPr="00C47FC4" w:rsidRDefault="00F20958" w:rsidP="005B7B0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F20958" w:rsidRPr="00C47FC4" w:rsidTr="00A8140F">
        <w:tc>
          <w:tcPr>
            <w:tcW w:w="12022" w:type="dxa"/>
            <w:gridSpan w:val="7"/>
            <w:shd w:val="clear" w:color="auto" w:fill="FFC000"/>
            <w:vAlign w:val="center"/>
          </w:tcPr>
          <w:p w:rsidR="00F20958" w:rsidRPr="00C47FC4" w:rsidRDefault="00F20958" w:rsidP="005B7B0F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III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1881" w:type="dxa"/>
            <w:shd w:val="clear" w:color="auto" w:fill="FFC000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C000"/>
          </w:tcPr>
          <w:p w:rsidR="00F20958" w:rsidRPr="00C47FC4" w:rsidRDefault="00F20958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B7B0F" w:rsidRPr="00C47FC4" w:rsidTr="005B7B0F">
        <w:tc>
          <w:tcPr>
            <w:tcW w:w="564" w:type="dxa"/>
          </w:tcPr>
          <w:p w:rsidR="005B7B0F" w:rsidRPr="00C47FC4" w:rsidRDefault="005B7B0F" w:rsidP="005B7B0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16" w:type="dxa"/>
          </w:tcPr>
          <w:p w:rsidR="005B7B0F" w:rsidRPr="00C47FC4" w:rsidRDefault="005B7B0F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образованием Асбестовского городского округа</w:t>
            </w:r>
          </w:p>
        </w:tc>
        <w:tc>
          <w:tcPr>
            <w:tcW w:w="1631" w:type="dxa"/>
          </w:tcPr>
          <w:p w:rsidR="005B7B0F" w:rsidRPr="00C47FC4" w:rsidRDefault="005B7B0F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Нарочным</w:t>
            </w:r>
          </w:p>
        </w:tc>
        <w:tc>
          <w:tcPr>
            <w:tcW w:w="2004" w:type="dxa"/>
            <w:shd w:val="clear" w:color="auto" w:fill="auto"/>
          </w:tcPr>
          <w:p w:rsidR="005B7B0F" w:rsidRPr="00C47FC4" w:rsidRDefault="005B7B0F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Регистрационный № 1769 от 05.09.2019 Асбестовский городской суд Свердловской области</w:t>
            </w:r>
          </w:p>
        </w:tc>
        <w:tc>
          <w:tcPr>
            <w:tcW w:w="2088" w:type="dxa"/>
            <w:shd w:val="clear" w:color="auto" w:fill="auto"/>
          </w:tcPr>
          <w:p w:rsidR="005B7B0F" w:rsidRPr="00C47FC4" w:rsidRDefault="005B7B0F" w:rsidP="00A27FB9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директор учреждения </w:t>
            </w:r>
          </w:p>
        </w:tc>
        <w:tc>
          <w:tcPr>
            <w:tcW w:w="1980" w:type="dxa"/>
            <w:shd w:val="clear" w:color="auto" w:fill="auto"/>
          </w:tcPr>
          <w:p w:rsidR="005B7B0F" w:rsidRDefault="005B7B0F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Решение Асбестовского городского суда о временном отстранении от должности </w:t>
            </w:r>
            <w:r w:rsidR="00A27FB9">
              <w:rPr>
                <w:rFonts w:ascii="Times New Roman" w:hAnsi="Times New Roman"/>
                <w:sz w:val="16"/>
                <w:szCs w:val="16"/>
                <w:lang w:eastAsia="ru-RU"/>
              </w:rPr>
              <w:t>директора учреждения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обвиняем</w:t>
            </w:r>
            <w:r w:rsidR="00A27FB9">
              <w:rPr>
                <w:rFonts w:ascii="Times New Roman" w:hAnsi="Times New Roman"/>
                <w:sz w:val="16"/>
                <w:szCs w:val="16"/>
                <w:lang w:eastAsia="ru-RU"/>
              </w:rPr>
              <w:t>ого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совершении преступлений, предусмотренных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3  ст. 159 Уголовного кодекса Российской Федерации до окончания предварительного следствия  </w:t>
            </w:r>
          </w:p>
          <w:p w:rsidR="005B7B0F" w:rsidRDefault="005B7B0F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B7B0F" w:rsidRPr="00C47FC4" w:rsidRDefault="005B7B0F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</w:tcPr>
          <w:p w:rsidR="005B7B0F" w:rsidRPr="00C47FC4" w:rsidRDefault="005B7B0F" w:rsidP="005B7B0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81" w:type="dxa"/>
          </w:tcPr>
          <w:p w:rsidR="005B7B0F" w:rsidRPr="00C47FC4" w:rsidRDefault="005B7B0F" w:rsidP="005B7B0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15" w:type="dxa"/>
          </w:tcPr>
          <w:p w:rsidR="005B7B0F" w:rsidRPr="00C47FC4" w:rsidRDefault="005B7B0F" w:rsidP="005B7B0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5B7B0F" w:rsidRPr="00C47FC4" w:rsidTr="00A8140F">
        <w:tc>
          <w:tcPr>
            <w:tcW w:w="12022" w:type="dxa"/>
            <w:gridSpan w:val="7"/>
            <w:shd w:val="clear" w:color="auto" w:fill="FFC000"/>
            <w:vAlign w:val="center"/>
          </w:tcPr>
          <w:p w:rsidR="005B7B0F" w:rsidRPr="00C47FC4" w:rsidRDefault="005B7B0F" w:rsidP="005B7B0F">
            <w:pPr>
              <w:ind w:right="-3767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C47FC4">
              <w:rPr>
                <w:rFonts w:ascii="Times New Roman" w:eastAsia="Calibri" w:hAnsi="Times New Roman"/>
                <w:sz w:val="16"/>
                <w:szCs w:val="16"/>
                <w:lang w:val="en-US" w:eastAsia="ru-RU"/>
              </w:rPr>
              <w:t>IV</w:t>
            </w:r>
            <w:r w:rsidRPr="00C47FC4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1881" w:type="dxa"/>
            <w:shd w:val="clear" w:color="auto" w:fill="FFC000"/>
          </w:tcPr>
          <w:p w:rsidR="005B7B0F" w:rsidRPr="00C47FC4" w:rsidRDefault="005B7B0F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shd w:val="clear" w:color="auto" w:fill="FFC000"/>
          </w:tcPr>
          <w:p w:rsidR="005B7B0F" w:rsidRPr="00C47FC4" w:rsidRDefault="005B7B0F" w:rsidP="007F33D2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</w:tr>
      <w:tr w:rsidR="005B7B0F" w:rsidRPr="00C47FC4" w:rsidTr="005B7B0F">
        <w:trPr>
          <w:trHeight w:val="320"/>
        </w:trPr>
        <w:tc>
          <w:tcPr>
            <w:tcW w:w="564" w:type="dxa"/>
          </w:tcPr>
          <w:p w:rsidR="005B7B0F" w:rsidRPr="00C47FC4" w:rsidRDefault="005B7B0F" w:rsidP="005B7B0F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816" w:type="dxa"/>
          </w:tcPr>
          <w:p w:rsidR="005B7B0F" w:rsidRPr="00C47FC4" w:rsidRDefault="006915E7" w:rsidP="005B7B0F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Департамент по противодействию коррупции и контроля Свердловской области </w:t>
            </w:r>
          </w:p>
        </w:tc>
        <w:tc>
          <w:tcPr>
            <w:tcW w:w="1631" w:type="dxa"/>
          </w:tcPr>
          <w:p w:rsidR="005B7B0F" w:rsidRPr="00C47FC4" w:rsidRDefault="006915E7" w:rsidP="005B7B0F">
            <w:pPr>
              <w:jc w:val="left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«телефон доверия»</w:t>
            </w:r>
          </w:p>
        </w:tc>
        <w:tc>
          <w:tcPr>
            <w:tcW w:w="2004" w:type="dxa"/>
            <w:shd w:val="clear" w:color="auto" w:fill="auto"/>
          </w:tcPr>
          <w:p w:rsidR="005B7B0F" w:rsidRPr="00C47FC4" w:rsidRDefault="006915E7" w:rsidP="005B7B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Регистрационный № 7 от 22.10.2019, г. Асбест, Васильева Елена Владимировна</w:t>
            </w:r>
          </w:p>
        </w:tc>
        <w:tc>
          <w:tcPr>
            <w:tcW w:w="2088" w:type="dxa"/>
            <w:shd w:val="clear" w:color="auto" w:fill="auto"/>
          </w:tcPr>
          <w:p w:rsidR="005B7B0F" w:rsidRPr="00C47FC4" w:rsidRDefault="006915E7" w:rsidP="005B7B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Заявителем 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указаны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5B7B0F" w:rsidRPr="006915E7" w:rsidRDefault="006915E7" w:rsidP="00A27FB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915E7">
              <w:rPr>
                <w:rFonts w:ascii="Liberation Serif" w:hAnsi="Liberation Serif" w:cs="Liberation Serif"/>
                <w:sz w:val="16"/>
                <w:szCs w:val="16"/>
              </w:rPr>
              <w:t xml:space="preserve">Заявитель работает младшим воспитателем </w:t>
            </w:r>
            <w:r w:rsidRPr="006915E7">
              <w:rPr>
                <w:rFonts w:ascii="Liberation Serif" w:hAnsi="Liberation Serif" w:cs="Liberation Serif"/>
                <w:sz w:val="16"/>
                <w:szCs w:val="16"/>
              </w:rPr>
              <w:br/>
              <w:t xml:space="preserve">в </w:t>
            </w:r>
            <w:r w:rsidR="00A27FB9">
              <w:rPr>
                <w:rFonts w:ascii="Liberation Serif" w:hAnsi="Liberation Serif" w:cs="Liberation Serif"/>
                <w:sz w:val="16"/>
                <w:szCs w:val="16"/>
              </w:rPr>
              <w:t>детском саду</w:t>
            </w:r>
            <w:r w:rsidRPr="006915E7">
              <w:rPr>
                <w:rFonts w:ascii="Liberation Serif" w:hAnsi="Liberation Serif" w:cs="Liberation Serif"/>
                <w:sz w:val="16"/>
                <w:szCs w:val="16"/>
              </w:rPr>
              <w:t xml:space="preserve">. В детском саду оформлены документы на премирование сотрудников, сотрудники расписались </w:t>
            </w:r>
            <w:r w:rsidRPr="006915E7">
              <w:rPr>
                <w:rFonts w:ascii="Liberation Serif" w:hAnsi="Liberation Serif" w:cs="Liberation Serif"/>
                <w:sz w:val="16"/>
                <w:szCs w:val="16"/>
              </w:rPr>
              <w:br/>
              <w:t>в ведомости за получение премии, но денежных средств не получили.</w:t>
            </w:r>
          </w:p>
        </w:tc>
        <w:tc>
          <w:tcPr>
            <w:tcW w:w="1939" w:type="dxa"/>
          </w:tcPr>
          <w:p w:rsidR="005B7B0F" w:rsidRPr="006C69D9" w:rsidRDefault="006C69D9" w:rsidP="00A27FB9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C69D9">
              <w:rPr>
                <w:rFonts w:ascii="Times New Roman" w:hAnsi="Times New Roman"/>
                <w:sz w:val="16"/>
                <w:szCs w:val="16"/>
              </w:rPr>
              <w:t xml:space="preserve">По результатам проверки установлено, что в соответствии с положением о стимулирующих выплатах работников </w:t>
            </w:r>
            <w:r w:rsidR="00A27FB9">
              <w:rPr>
                <w:rFonts w:ascii="Times New Roman" w:hAnsi="Times New Roman"/>
                <w:sz w:val="16"/>
                <w:szCs w:val="16"/>
              </w:rPr>
              <w:t>детского сада</w:t>
            </w:r>
            <w:r w:rsidRPr="006C69D9">
              <w:rPr>
                <w:rFonts w:ascii="Times New Roman" w:hAnsi="Times New Roman"/>
                <w:sz w:val="16"/>
                <w:szCs w:val="16"/>
              </w:rPr>
              <w:t xml:space="preserve"> и положением о распределении </w:t>
            </w:r>
            <w:proofErr w:type="gramStart"/>
            <w:r w:rsidRPr="006C69D9">
              <w:rPr>
                <w:rFonts w:ascii="Times New Roman" w:hAnsi="Times New Roman"/>
                <w:sz w:val="16"/>
                <w:szCs w:val="16"/>
              </w:rPr>
              <w:t>экономии средств фонда оплаты труда</w:t>
            </w:r>
            <w:proofErr w:type="gramEnd"/>
            <w:r w:rsidRPr="006C69D9">
              <w:rPr>
                <w:rFonts w:ascii="Times New Roman" w:hAnsi="Times New Roman"/>
                <w:sz w:val="16"/>
                <w:szCs w:val="16"/>
              </w:rPr>
              <w:t xml:space="preserve"> приказами заведующего </w:t>
            </w:r>
            <w:r w:rsidR="00A27FB9">
              <w:rPr>
                <w:rFonts w:ascii="Times New Roman" w:hAnsi="Times New Roman"/>
                <w:sz w:val="16"/>
                <w:szCs w:val="16"/>
              </w:rPr>
              <w:t>детского сада</w:t>
            </w:r>
            <w:r w:rsidRPr="006C69D9">
              <w:rPr>
                <w:rFonts w:ascii="Times New Roman" w:hAnsi="Times New Roman"/>
                <w:sz w:val="16"/>
                <w:szCs w:val="16"/>
              </w:rPr>
              <w:t xml:space="preserve"> младшим воспитателям, в том числе Васильевой Е.В., начислены стимулирующие выплаты и премия ко Дню дошкольного работника. В связи с тем, что выплата премий и выплата стимулирующего характера работникам начислена без учета объемов экономии средств по заработной плате, на основании пункта 7.2 Примерного положения об оплате труда работников приказами заведующего внесены изменения в приказы о выплате премий и выплатах стимулирующего характера с </w:t>
            </w:r>
            <w:r w:rsidRPr="006C69D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уменьшением суммы указанных выплат. Денежные средства для выплаты премий и выплат стимулирующего характера перечислены </w:t>
            </w:r>
          </w:p>
        </w:tc>
        <w:tc>
          <w:tcPr>
            <w:tcW w:w="1881" w:type="dxa"/>
          </w:tcPr>
          <w:p w:rsidR="005B7B0F" w:rsidRPr="00C47FC4" w:rsidRDefault="006C69D9" w:rsidP="006C69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115" w:type="dxa"/>
          </w:tcPr>
          <w:p w:rsidR="005B7B0F" w:rsidRPr="00C47FC4" w:rsidRDefault="006C69D9" w:rsidP="005B7B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Письмо в Департамент по противодействию коррупции и контроля Свердловской области от 16.12.2019 № 44-04-7575/9</w:t>
            </w:r>
          </w:p>
        </w:tc>
      </w:tr>
      <w:tr w:rsidR="005B7B0F" w:rsidRPr="00C47FC4" w:rsidTr="00A8140F">
        <w:trPr>
          <w:trHeight w:val="269"/>
        </w:trPr>
        <w:tc>
          <w:tcPr>
            <w:tcW w:w="564" w:type="dxa"/>
            <w:vAlign w:val="center"/>
          </w:tcPr>
          <w:p w:rsidR="005B7B0F" w:rsidRPr="00C47FC4" w:rsidRDefault="005B7B0F" w:rsidP="007F33D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5B7B0F" w:rsidRPr="00C47FC4" w:rsidRDefault="005B7B0F" w:rsidP="007F33D2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5B7B0F" w:rsidRPr="00C47FC4" w:rsidRDefault="005B7B0F" w:rsidP="005B7B0F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5B7B0F" w:rsidRPr="00C47FC4" w:rsidRDefault="005B7B0F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5B7B0F" w:rsidRPr="00C47FC4" w:rsidRDefault="005B7B0F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B7B0F" w:rsidRPr="00C47FC4" w:rsidRDefault="005B7B0F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9" w:type="dxa"/>
            <w:vAlign w:val="center"/>
          </w:tcPr>
          <w:p w:rsidR="005B7B0F" w:rsidRPr="00C47FC4" w:rsidRDefault="005B7B0F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1" w:type="dxa"/>
          </w:tcPr>
          <w:p w:rsidR="005B7B0F" w:rsidRPr="00C47FC4" w:rsidRDefault="005B7B0F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5" w:type="dxa"/>
          </w:tcPr>
          <w:p w:rsidR="005B7B0F" w:rsidRPr="00C47FC4" w:rsidRDefault="005B7B0F" w:rsidP="007F33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>
        <w:rPr>
          <w:rFonts w:ascii="Times New Roman" w:hAnsi="Times New Roman"/>
        </w:rPr>
        <w:t xml:space="preserve"> </w:t>
      </w:r>
      <w:r w:rsidR="00B3300F" w:rsidRPr="00424D7D">
        <w:rPr>
          <w:rFonts w:ascii="Times New Roman" w:hAnsi="Times New Roman"/>
        </w:rPr>
        <w:t>;</w:t>
      </w:r>
      <w:proofErr w:type="gramEnd"/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обращения</w:t>
      </w:r>
      <w:r w:rsidR="00E0391E">
        <w:rPr>
          <w:rFonts w:ascii="Times New Roman" w:hAnsi="Times New Roman"/>
        </w:rPr>
        <w:t xml:space="preserve"> </w:t>
      </w:r>
      <w:r w:rsidR="00B15B1F">
        <w:rPr>
          <w:rFonts w:ascii="Times New Roman" w:hAnsi="Times New Roman"/>
        </w:rPr>
        <w:t>(почта,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  <w:proofErr w:type="gramEnd"/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proofErr w:type="gramStart"/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  <w:proofErr w:type="gramEnd"/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  <w:proofErr w:type="gramEnd"/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</w:t>
      </w:r>
      <w:proofErr w:type="gramEnd"/>
      <w:r w:rsidR="00800AA6">
        <w:rPr>
          <w:rFonts w:ascii="Times New Roman" w:hAnsi="Times New Roman"/>
        </w:rPr>
        <w:t xml:space="preserve">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</w:t>
      </w:r>
      <w:proofErr w:type="gramStart"/>
      <w:r>
        <w:rPr>
          <w:rFonts w:ascii="Times New Roman" w:hAnsi="Times New Roman"/>
        </w:rPr>
        <w:t>просьба</w:t>
      </w:r>
      <w:proofErr w:type="gramEnd"/>
      <w:r>
        <w:rPr>
          <w:rFonts w:ascii="Times New Roman" w:hAnsi="Times New Roman"/>
        </w:rPr>
        <w:t xml:space="preserve">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  <w:r w:rsidR="00EE5963">
        <w:rPr>
          <w:rFonts w:ascii="Times New Roman" w:hAnsi="Times New Roman"/>
        </w:rPr>
        <w:t xml:space="preserve"> 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</w:t>
      </w:r>
      <w:r w:rsidRPr="009803CC">
        <w:rPr>
          <w:rFonts w:ascii="Times New Roman" w:hAnsi="Times New Roman"/>
          <w:b/>
        </w:rPr>
        <w:lastRenderedPageBreak/>
        <w:t xml:space="preserve">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  <w:r w:rsidRPr="009803CC">
        <w:rPr>
          <w:rFonts w:ascii="Times New Roman" w:hAnsi="Times New Roman"/>
          <w:b/>
        </w:rPr>
        <w:t xml:space="preserve"> </w:t>
      </w:r>
    </w:p>
    <w:sectPr w:rsidR="00EE5963" w:rsidRPr="009803CC" w:rsidSect="003872E1">
      <w:headerReference w:type="default" r:id="rId8"/>
      <w:footerReference w:type="even" r:id="rId9"/>
      <w:footerReference w:type="default" r:id="rId10"/>
      <w:footerReference w:type="first" r:id="rId11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AC" w:rsidRDefault="00F67EAC">
      <w:r>
        <w:separator/>
      </w:r>
    </w:p>
  </w:endnote>
  <w:endnote w:type="continuationSeparator" w:id="0">
    <w:p w:rsidR="00F67EAC" w:rsidRDefault="00F6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Default="00721A2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7F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C4" w:rsidRDefault="00C47FC4" w:rsidP="00DA29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Default="00C47FC4" w:rsidP="005D1715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C4" w:rsidRPr="00D73FF7" w:rsidRDefault="00C47FC4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AC" w:rsidRDefault="00F67EAC">
      <w:r>
        <w:separator/>
      </w:r>
    </w:p>
  </w:footnote>
  <w:footnote w:type="continuationSeparator" w:id="0">
    <w:p w:rsidR="00F67EAC" w:rsidRDefault="00F67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7FC4" w:rsidRPr="00443368" w:rsidRDefault="00721A2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C47FC4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A27FB9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7FC4" w:rsidRDefault="00C47F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1004"/>
  <w:defaultTabStop w:val="708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2CB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44A3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5CC9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0F13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AF9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B9A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5B8A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5971"/>
    <w:rsid w:val="00436623"/>
    <w:rsid w:val="00437DAF"/>
    <w:rsid w:val="004413F4"/>
    <w:rsid w:val="00443368"/>
    <w:rsid w:val="004435DC"/>
    <w:rsid w:val="00443A21"/>
    <w:rsid w:val="004443C9"/>
    <w:rsid w:val="00444A00"/>
    <w:rsid w:val="00446085"/>
    <w:rsid w:val="00450C3D"/>
    <w:rsid w:val="00451A0E"/>
    <w:rsid w:val="00452E61"/>
    <w:rsid w:val="00453062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1650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4F7D41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523"/>
    <w:rsid w:val="005B4C6B"/>
    <w:rsid w:val="005B7B0F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B1C"/>
    <w:rsid w:val="006915E7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4C02"/>
    <w:rsid w:val="006A58C5"/>
    <w:rsid w:val="006B08E8"/>
    <w:rsid w:val="006B09A2"/>
    <w:rsid w:val="006B2C1E"/>
    <w:rsid w:val="006B4CC6"/>
    <w:rsid w:val="006B580C"/>
    <w:rsid w:val="006B66A6"/>
    <w:rsid w:val="006C3D78"/>
    <w:rsid w:val="006C69D9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1A27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47AB7"/>
    <w:rsid w:val="007507D1"/>
    <w:rsid w:val="0075156B"/>
    <w:rsid w:val="00752419"/>
    <w:rsid w:val="0075535E"/>
    <w:rsid w:val="00757083"/>
    <w:rsid w:val="007573D2"/>
    <w:rsid w:val="00761F49"/>
    <w:rsid w:val="00767559"/>
    <w:rsid w:val="00770741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A8A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09B6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27FB9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140F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53E0"/>
    <w:rsid w:val="00AE6FC9"/>
    <w:rsid w:val="00AE7002"/>
    <w:rsid w:val="00AE74ED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0B9"/>
    <w:rsid w:val="00B03DBB"/>
    <w:rsid w:val="00B061FF"/>
    <w:rsid w:val="00B07842"/>
    <w:rsid w:val="00B12444"/>
    <w:rsid w:val="00B1396D"/>
    <w:rsid w:val="00B15B1F"/>
    <w:rsid w:val="00B175C7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164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3C29"/>
    <w:rsid w:val="00BD45B6"/>
    <w:rsid w:val="00BD5A2E"/>
    <w:rsid w:val="00BD6AD1"/>
    <w:rsid w:val="00BD7AA8"/>
    <w:rsid w:val="00BE2E2D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47FC4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1A13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102B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21E9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2D7C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691"/>
    <w:rsid w:val="00EF5DE6"/>
    <w:rsid w:val="00EF6316"/>
    <w:rsid w:val="00F024FD"/>
    <w:rsid w:val="00F02C42"/>
    <w:rsid w:val="00F048C8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0958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67EAC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1963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3F5B-C343-49A0-AE58-7F08B80A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140</TotalTime>
  <Pages>1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1</cp:lastModifiedBy>
  <cp:revision>15</cp:revision>
  <cp:lastPrinted>2019-04-04T09:03:00Z</cp:lastPrinted>
  <dcterms:created xsi:type="dcterms:W3CDTF">2019-04-03T09:46:00Z</dcterms:created>
  <dcterms:modified xsi:type="dcterms:W3CDTF">2020-07-07T13:26:00Z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