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A" w:rsidRDefault="00402BFA" w:rsidP="00402B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402BFA" w:rsidRDefault="00402BFA" w:rsidP="00402BF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402BFA" w:rsidRPr="00AB2AC5" w:rsidTr="00444C16">
        <w:trPr>
          <w:trHeight w:val="3969"/>
        </w:trPr>
        <w:tc>
          <w:tcPr>
            <w:tcW w:w="4219" w:type="dxa"/>
            <w:shd w:val="clear" w:color="auto" w:fill="auto"/>
          </w:tcPr>
          <w:p w:rsidR="00402BFA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02BFA" w:rsidRDefault="00402BFA" w:rsidP="00444C1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BFA" w:rsidRPr="00AB2AC5" w:rsidRDefault="00402BFA" w:rsidP="00444C1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AC5">
              <w:rPr>
                <w:rFonts w:ascii="Times New Roman" w:hAnsi="Times New Roman" w:cs="Times New Roman"/>
                <w:b/>
              </w:rPr>
              <w:t>Серовская</w:t>
            </w:r>
            <w:proofErr w:type="spellEnd"/>
            <w:r w:rsidRPr="00AB2AC5">
              <w:rPr>
                <w:rFonts w:ascii="Times New Roman" w:hAnsi="Times New Roman" w:cs="Times New Roman"/>
                <w:b/>
              </w:rPr>
              <w:t xml:space="preserve"> городская прокуратура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402BFA" w:rsidRPr="00AB2AC5" w:rsidRDefault="00402BFA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BFA" w:rsidRPr="00AB2AC5" w:rsidRDefault="007D04D5" w:rsidP="00444C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02BFA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402BFA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02BFA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BFA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2BFA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2BFA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2BFA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402BFA" w:rsidRPr="00AB2AC5" w:rsidRDefault="00402BFA" w:rsidP="00444C16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04D5" w:rsidRDefault="007D04D5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7D04D5" w:rsidRPr="007D04D5" w:rsidRDefault="007D04D5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u w:val="single"/>
          <w:lang w:eastAsia="ru-RU"/>
        </w:rPr>
      </w:pPr>
      <w:r w:rsidRPr="007D04D5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u w:val="single"/>
          <w:lang w:eastAsia="ru-RU"/>
        </w:rPr>
        <w:t>ПРОКУРАТУРА РАЗЪЯСНЯЕТ</w:t>
      </w:r>
    </w:p>
    <w:p w:rsidR="007D04D5" w:rsidRDefault="007D04D5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7D04D5" w:rsidRDefault="007D04D5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2B1879" w:rsidRPr="007D04D5" w:rsidRDefault="00DA2C2A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3CAA"/>
          <w:sz w:val="28"/>
          <w:szCs w:val="28"/>
          <w:lang w:eastAsia="ru-RU"/>
        </w:rPr>
        <w:t>Н</w:t>
      </w:r>
      <w:r w:rsidRPr="007D04D5">
        <w:rPr>
          <w:rFonts w:ascii="Times New Roman" w:eastAsia="Times New Roman" w:hAnsi="Times New Roman" w:cs="Times New Roman"/>
          <w:b/>
          <w:bCs/>
          <w:i/>
          <w:color w:val="003CAA"/>
          <w:sz w:val="28"/>
          <w:szCs w:val="28"/>
          <w:lang w:eastAsia="ru-RU"/>
        </w:rPr>
        <w:t>овое в процедуре банкротства физических лиц</w:t>
      </w:r>
    </w:p>
    <w:p w:rsidR="00402BFA" w:rsidRPr="00402BFA" w:rsidRDefault="00402BFA" w:rsidP="00402BF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2B1879" w:rsidRPr="00402BFA" w:rsidRDefault="002B1879" w:rsidP="00402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1 июля 2015 года вступит в силу Федеральный закон от 29.12.2014 № 476-ФЗ «О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гражданина-должника».</w:t>
      </w:r>
    </w:p>
    <w:p w:rsidR="002B1879" w:rsidRPr="00402BFA" w:rsidRDefault="00402BFA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</w:t>
      </w:r>
      <w:r w:rsidR="002B1879"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дела о банкротстве юридических лиц, индивидуальных предпринимателей, а также граждан, прекративших деятельность в качестве индивидуального предпринимателя, но денежные обязательства по уплате обязательных </w:t>
      </w:r>
      <w:proofErr w:type="gramStart"/>
      <w:r w:rsidR="002B1879"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платежей</w:t>
      </w:r>
      <w:proofErr w:type="gramEnd"/>
      <w:r w:rsidR="002B1879"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которых возникли в результате осуществления ими предпринимательской деятельности, рассматриваются арбитражным судом.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Дела о банкротстве граждан, не являющихся индивидуальными предпринимателями, рассматриваются судом общей юрисдикции.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Предусмотрено, что при рассмотрении дела о банкротстве гражданина применяются реструктуризация долгов гражданина, реализация имущества гражданина, мировое соглашение. Установлен порядок реструктуризации долгов гражданина и реализации его имущества.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тысяч рублей.</w:t>
      </w:r>
      <w:proofErr w:type="gramEnd"/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Также должник вправе подать в суд или арбитражный суд заявление в случае предвидения банкротства при наличии обстоятельств, очевидно </w:t>
      </w: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свидетельствующих о том, что он не в состоянии исполнить денежные обязательства в установленный срок.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Правом на обращение в суд с заявлением о признании гражданина банкротом обладают гражданин, конкурсный кредитор, уполномоченный орган.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деле о банкротстве гражданина обязательно участие финансового управляющего, который является арбитражным управляющим, утвержденным судом или арбитражным судом для участия в деле.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Законом также </w:t>
      </w:r>
      <w:proofErr w:type="gramStart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установлены</w:t>
      </w:r>
      <w:proofErr w:type="gramEnd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критерии неплатежеспособности гражданина;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особенности рассмотрения обоснованности заявления о признании гражданина банкротом;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 представления проекта плана реструктуризации долгов гражданина, его содержание, перечень прилагаемых к нему документов (в течение срока исполнения плана реструктуризации долгов гражданина и 5 лет после завершения его исполнения гражданин, в отношении задолженности которого утвержден указанный план, не вправе скрывать факт осуществления им указанного плана при обращении за получением кредита, а равно и при приобретении товаров, предусматривающих отсрочку или рассрочку</w:t>
      </w:r>
      <w:proofErr w:type="gramEnd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платежа);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 принятия судом решения о признании гражданина банкротом (в случае принятия такого решения суд вводит реализацию имущества гражданина и вправе вынести определение о временном ограничении права на выезд из России);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особенности реализации имущества гражданина (в частности, драгоценности и другие предметы роскоши, стоимость которых превышает 100 тысяч рублей, и вне зависимости от стоимости недвижимое имущество подлежат реализации на открытых торгах);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 удовлетворения требований кредиторов гражданина;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последствия признания гражданина банкротом (в частности, в течение 5 лет гражданин-банкрот не вправе принимать на себя обязательства по кредитам или займам без указания на факт банкротства);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особенности прекращения производства по делу о банкротстве гражданина в связи с заключением мирового соглашения;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особенности рассмотрения дела о банкротстве гражданина в случае его смерти (в этом случае дело о банкротстве может быть возбуждено по заявлению конкурсного кредитора, уполномоченного органа или наследника). </w:t>
      </w:r>
    </w:p>
    <w:p w:rsidR="002B1879" w:rsidRPr="00402BFA" w:rsidRDefault="002B1879" w:rsidP="00402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связи с принятием закона внесены </w:t>
      </w:r>
      <w:proofErr w:type="gramStart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поправки</w:t>
      </w:r>
      <w:proofErr w:type="gramEnd"/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том числе в Гражданский кодекс РФ, Уголовный кодекс РФ, Федеральный закон «Об ипотеке (</w:t>
      </w:r>
      <w:r w:rsid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залоге недвижимости)», Кодекс Российской Федерации</w:t>
      </w:r>
      <w:r w:rsidRPr="00402B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об административных правонарушениях, Арбитражный процессуальный кодекс РФ, Гражданский процессуальный кодекс РФ, Федеральный закон «Об исполнительном производстве». Признаны утратившими силу отдельные положения некоторых законодательных актов. </w:t>
      </w:r>
    </w:p>
    <w:p w:rsidR="00527C02" w:rsidRDefault="00527C02" w:rsidP="00402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BFA" w:rsidRPr="00402BFA" w:rsidRDefault="007D04D5" w:rsidP="00402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</w:t>
      </w:r>
    </w:p>
    <w:sectPr w:rsidR="00402BFA" w:rsidRPr="00402BFA" w:rsidSect="00402B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F7"/>
    <w:rsid w:val="0017558F"/>
    <w:rsid w:val="00196ECF"/>
    <w:rsid w:val="002B1879"/>
    <w:rsid w:val="00402BFA"/>
    <w:rsid w:val="00527C02"/>
    <w:rsid w:val="00605311"/>
    <w:rsid w:val="007D04D5"/>
    <w:rsid w:val="00BC30F7"/>
    <w:rsid w:val="00DA2C2A"/>
    <w:rsid w:val="00DA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</cp:revision>
  <cp:lastPrinted>2015-03-10T11:41:00Z</cp:lastPrinted>
  <dcterms:created xsi:type="dcterms:W3CDTF">2015-03-18T11:05:00Z</dcterms:created>
  <dcterms:modified xsi:type="dcterms:W3CDTF">2015-03-18T11:05:00Z</dcterms:modified>
</cp:coreProperties>
</file>