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91" w:rsidRPr="001F5A91" w:rsidRDefault="001F5A91" w:rsidP="000A49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ИНФОРМАЦИЯ О МЕРАХ ПОДДЕРЖКИ СУБЪЕКТОВ МАЛОГО И СРЕДНЕГО ПРЕДПРИНИМАТЕЛЬСТВА,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включенных в единый реестр субъектов малого и среднего предпринимательства </w:t>
      </w:r>
      <w:proofErr w:type="gramStart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1F5A91">
        <w:rPr>
          <w:rFonts w:ascii="Times New Roman" w:eastAsia="Times New Roman" w:hAnsi="Times New Roman" w:cs="Times New Roman"/>
          <w:sz w:val="28"/>
          <w:szCs w:val="28"/>
        </w:rPr>
        <w:t>далее – МСП) (</w:t>
      </w:r>
      <w:hyperlink r:id="rId4" w:history="1">
        <w:r w:rsidRPr="00B12C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https://rmsp.nalog.ru</w:t>
        </w:r>
      </w:hyperlink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поддержка: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1.      Программа 8,5%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5A91">
        <w:rPr>
          <w:rFonts w:ascii="Times New Roman" w:eastAsia="Times New Roman" w:hAnsi="Times New Roman" w:cs="Times New Roman"/>
          <w:sz w:val="28"/>
          <w:szCs w:val="28"/>
        </w:rPr>
        <w:t>Для субъектов МСП,</w:t>
      </w:r>
      <w:r w:rsidR="00B12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A91">
        <w:rPr>
          <w:rFonts w:ascii="Times New Roman" w:eastAsia="Times New Roman" w:hAnsi="Times New Roman" w:cs="Times New Roman"/>
          <w:sz w:val="28"/>
          <w:szCs w:val="28"/>
        </w:rPr>
        <w:t>осуществляющих деятельность в приоритетных отраслях экономики (сферах здравоохранения, образования, культуры, спорта, сельского хозяйства, строительства, информатизации и связи, туризма, гостеприимства и общественного питания, бытовых услуг, а также обрабатывающие производства, компании, которые профессионально занимаются научной и технической деятельностью, оказывают услуги водоснабжения и водоотведения, обеспечивают сбор, обработку и утилизацию отходов), Министерством экономического развития России разработана программа льготного кредитования по ставке</w:t>
      </w:r>
      <w:proofErr w:type="gram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 8,5%.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В Приморском крае данная программа реализуется 26 финансово-кредитными организациями: Дальневосточный банк, </w:t>
      </w:r>
      <w:proofErr w:type="spellStart"/>
      <w:r w:rsidRPr="001F5A91">
        <w:rPr>
          <w:rFonts w:ascii="Times New Roman" w:eastAsia="Times New Roman" w:hAnsi="Times New Roman" w:cs="Times New Roman"/>
          <w:sz w:val="28"/>
          <w:szCs w:val="28"/>
        </w:rPr>
        <w:t>Примсоцбанк</w:t>
      </w:r>
      <w:proofErr w:type="spell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5A91">
        <w:rPr>
          <w:rFonts w:ascii="Times New Roman" w:eastAsia="Times New Roman" w:hAnsi="Times New Roman" w:cs="Times New Roman"/>
          <w:sz w:val="28"/>
          <w:szCs w:val="28"/>
        </w:rPr>
        <w:t>Примтеркомбанк</w:t>
      </w:r>
      <w:proofErr w:type="spell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, Азиатско-Тихоокеанский Банк, Альфа-Банк, Банк «Возрождение», Банк ВТБ, </w:t>
      </w:r>
      <w:proofErr w:type="spellStart"/>
      <w:r w:rsidRPr="001F5A91">
        <w:rPr>
          <w:rFonts w:ascii="Times New Roman" w:eastAsia="Times New Roman" w:hAnsi="Times New Roman" w:cs="Times New Roman"/>
          <w:sz w:val="28"/>
          <w:szCs w:val="28"/>
        </w:rPr>
        <w:t>Газпромбанк</w:t>
      </w:r>
      <w:proofErr w:type="spell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, Морской Банк, МСП Банк, </w:t>
      </w:r>
      <w:proofErr w:type="spellStart"/>
      <w:r w:rsidRPr="001F5A91">
        <w:rPr>
          <w:rFonts w:ascii="Times New Roman" w:eastAsia="Times New Roman" w:hAnsi="Times New Roman" w:cs="Times New Roman"/>
          <w:sz w:val="28"/>
          <w:szCs w:val="28"/>
        </w:rPr>
        <w:t>Промсвязьбанк</w:t>
      </w:r>
      <w:proofErr w:type="spell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5A91">
        <w:rPr>
          <w:rFonts w:ascii="Times New Roman" w:eastAsia="Times New Roman" w:hAnsi="Times New Roman" w:cs="Times New Roman"/>
          <w:sz w:val="28"/>
          <w:szCs w:val="28"/>
        </w:rPr>
        <w:t>Райффайзенбанк</w:t>
      </w:r>
      <w:proofErr w:type="spell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5A91">
        <w:rPr>
          <w:rFonts w:ascii="Times New Roman" w:eastAsia="Times New Roman" w:hAnsi="Times New Roman" w:cs="Times New Roman"/>
          <w:sz w:val="28"/>
          <w:szCs w:val="28"/>
        </w:rPr>
        <w:t>Росбанк</w:t>
      </w:r>
      <w:proofErr w:type="spell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5A91">
        <w:rPr>
          <w:rFonts w:ascii="Times New Roman" w:eastAsia="Times New Roman" w:hAnsi="Times New Roman" w:cs="Times New Roman"/>
          <w:sz w:val="28"/>
          <w:szCs w:val="28"/>
        </w:rPr>
        <w:t>Россельхозбанк</w:t>
      </w:r>
      <w:proofErr w:type="spell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, Сбербанк России, </w:t>
      </w:r>
      <w:proofErr w:type="spellStart"/>
      <w:r w:rsidRPr="001F5A91">
        <w:rPr>
          <w:rFonts w:ascii="Times New Roman" w:eastAsia="Times New Roman" w:hAnsi="Times New Roman" w:cs="Times New Roman"/>
          <w:sz w:val="28"/>
          <w:szCs w:val="28"/>
        </w:rPr>
        <w:t>Совкомбанк</w:t>
      </w:r>
      <w:proofErr w:type="spellEnd"/>
      <w:r w:rsidRPr="001F5A91">
        <w:rPr>
          <w:rFonts w:ascii="Times New Roman" w:eastAsia="Times New Roman" w:hAnsi="Times New Roman" w:cs="Times New Roman"/>
          <w:sz w:val="28"/>
          <w:szCs w:val="28"/>
        </w:rPr>
        <w:t>, Банк ДОМ</w:t>
      </w:r>
      <w:proofErr w:type="gramStart"/>
      <w:r w:rsidRPr="001F5A9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Ф, </w:t>
      </w:r>
      <w:proofErr w:type="spellStart"/>
      <w:r w:rsidRPr="001F5A91">
        <w:rPr>
          <w:rFonts w:ascii="Times New Roman" w:eastAsia="Times New Roman" w:hAnsi="Times New Roman" w:cs="Times New Roman"/>
          <w:sz w:val="28"/>
          <w:szCs w:val="28"/>
        </w:rPr>
        <w:t>МТС-Банк</w:t>
      </w:r>
      <w:proofErr w:type="spell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, Банк «ФК Открытие», </w:t>
      </w:r>
      <w:proofErr w:type="spellStart"/>
      <w:r w:rsidRPr="001F5A91">
        <w:rPr>
          <w:rFonts w:ascii="Times New Roman" w:eastAsia="Times New Roman" w:hAnsi="Times New Roman" w:cs="Times New Roman"/>
          <w:sz w:val="28"/>
          <w:szCs w:val="28"/>
        </w:rPr>
        <w:t>Роял</w:t>
      </w:r>
      <w:proofErr w:type="spell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 Кредит Банк, САММИТ БАНК, </w:t>
      </w:r>
      <w:proofErr w:type="spellStart"/>
      <w:r w:rsidRPr="001F5A91">
        <w:rPr>
          <w:rFonts w:ascii="Times New Roman" w:eastAsia="Times New Roman" w:hAnsi="Times New Roman" w:cs="Times New Roman"/>
          <w:sz w:val="28"/>
          <w:szCs w:val="28"/>
        </w:rPr>
        <w:t>Солид</w:t>
      </w:r>
      <w:proofErr w:type="spell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 Банк, ВЛАДБИЗНЕСБАНК, Банк </w:t>
      </w:r>
      <w:proofErr w:type="spellStart"/>
      <w:r w:rsidRPr="001F5A91">
        <w:rPr>
          <w:rFonts w:ascii="Times New Roman" w:eastAsia="Times New Roman" w:hAnsi="Times New Roman" w:cs="Times New Roman"/>
          <w:sz w:val="28"/>
          <w:szCs w:val="28"/>
        </w:rPr>
        <w:t>Интеза</w:t>
      </w:r>
      <w:proofErr w:type="spell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, Банк Стандарт-Кредит, </w:t>
      </w:r>
      <w:proofErr w:type="spellStart"/>
      <w:r w:rsidRPr="001F5A91">
        <w:rPr>
          <w:rFonts w:ascii="Times New Roman" w:eastAsia="Times New Roman" w:hAnsi="Times New Roman" w:cs="Times New Roman"/>
          <w:sz w:val="28"/>
          <w:szCs w:val="28"/>
        </w:rPr>
        <w:t>Алмазэргиэнбанк</w:t>
      </w:r>
      <w:proofErr w:type="spell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По данной программе субъектам предпринимательской деятельности доступны два вида займов: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- на пополнение оборотных средств - от 500 тыс. рублей до 500 </w:t>
      </w:r>
      <w:proofErr w:type="spellStart"/>
      <w:proofErr w:type="gramStart"/>
      <w:r w:rsidRPr="001F5A91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 рублей на срок до 3 лет;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- на инвестиционные цели </w:t>
      </w:r>
      <w:proofErr w:type="gramStart"/>
      <w:r w:rsidRPr="001F5A91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т 500 тыс. рублей до 1 </w:t>
      </w:r>
      <w:proofErr w:type="spellStart"/>
      <w:r w:rsidRPr="001F5A91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 рублей на срок до 10 лет, а также от 500 тыс. рублей до 2 </w:t>
      </w:r>
      <w:proofErr w:type="spellStart"/>
      <w:r w:rsidRPr="001F5A91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 рублей на срок до 10 лет по кредитным договорам с заемщиками, осуществляющими деятельность в приоритетных отраслях.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1F5A9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 если предпринимателю не хватает собственного залогового обеспечения по кредиту, он может получить поручительство Гарантийного фонда Приморского края (до 70% от суммы обязательств).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С более подробной информацией об условиях получения поддержки можно ознакомиться по ссылке: </w:t>
      </w:r>
      <w:hyperlink r:id="rId5" w:history="1">
        <w:r w:rsidRPr="00B12C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http://mb.primorsky.ru/services/32</w:t>
        </w:r>
      </w:hyperlink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2.      </w:t>
      </w:r>
      <w:proofErr w:type="spellStart"/>
      <w:r w:rsidRPr="001F5A91">
        <w:rPr>
          <w:rFonts w:ascii="Times New Roman" w:eastAsia="Times New Roman" w:hAnsi="Times New Roman" w:cs="Times New Roman"/>
          <w:sz w:val="28"/>
          <w:szCs w:val="28"/>
        </w:rPr>
        <w:t>Микрофинансовые</w:t>
      </w:r>
      <w:proofErr w:type="spell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 продукты.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Приморская </w:t>
      </w:r>
      <w:proofErr w:type="spellStart"/>
      <w:r w:rsidRPr="001F5A91"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proofErr w:type="spell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 компания предоставляет </w:t>
      </w:r>
      <w:proofErr w:type="spellStart"/>
      <w:r w:rsidRPr="001F5A91">
        <w:rPr>
          <w:rFonts w:ascii="Times New Roman" w:eastAsia="Times New Roman" w:hAnsi="Times New Roman" w:cs="Times New Roman"/>
          <w:sz w:val="28"/>
          <w:szCs w:val="28"/>
        </w:rPr>
        <w:t>микрозаймы</w:t>
      </w:r>
      <w:proofErr w:type="spell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 для малого и среднего бизнеса. Компанией реализуются продукты льготного кредитования: «Бизнес», «Моногород», «Старт», «Рефинансирование», «Сельскохозяйственный», «Автомобиль», «Бизнес–ипотека», «Оборот». </w:t>
      </w:r>
      <w:proofErr w:type="spellStart"/>
      <w:r w:rsidRPr="001F5A91">
        <w:rPr>
          <w:rFonts w:ascii="Times New Roman" w:eastAsia="Times New Roman" w:hAnsi="Times New Roman" w:cs="Times New Roman"/>
          <w:sz w:val="28"/>
          <w:szCs w:val="28"/>
        </w:rPr>
        <w:t>Микрозаймы</w:t>
      </w:r>
      <w:proofErr w:type="spell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 выдаются в размере до 5 000,0 тыс. рублей на срок до 3 лет по ставке от ½ ключевой ставки Центрального банка РФ до 11%.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С условиями и правилами предоставления </w:t>
      </w:r>
      <w:proofErr w:type="spellStart"/>
      <w:r w:rsidRPr="001F5A91">
        <w:rPr>
          <w:rFonts w:ascii="Times New Roman" w:eastAsia="Times New Roman" w:hAnsi="Times New Roman" w:cs="Times New Roman"/>
          <w:sz w:val="28"/>
          <w:szCs w:val="28"/>
        </w:rPr>
        <w:t>микрозайма</w:t>
      </w:r>
      <w:proofErr w:type="spell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 можно ознакомиться по ссылке </w:t>
      </w:r>
      <w:hyperlink r:id="rId6" w:history="1">
        <w:r w:rsidRPr="00B12C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http://mb.primorsky.ru/guide/micro-credit</w:t>
        </w:r>
      </w:hyperlink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3.      Программа льготного лизинга Корпорации МСП.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На федеральном уровне в целях содействия бизнесу оказывается поддержка в виде льготного лизингового финансирования АО «Федеральная корпорация по развитию малого и среднего предпринимательства» (далее – Корпорация МСП).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Операторами программы выступают дочерние региональные лизинговые компании Корпорации МСП, функционирующие в </w:t>
      </w:r>
      <w:proofErr w:type="gramStart"/>
      <w:r w:rsidRPr="001F5A9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. Уфа, г. Казань, г. Ярославль, г. Якутск.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При этом в работе данных компаний реализуется принцип равного доступа субъектов предпринимательства к оказываемой поддержке. То есть предприниматели из Приморского края могут обратиться с лизинговой заявкой в любую из указанных компаний.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Предметом лизинга является: </w:t>
      </w:r>
      <w:proofErr w:type="spellStart"/>
      <w:proofErr w:type="gramStart"/>
      <w:r w:rsidRPr="001F5A91">
        <w:rPr>
          <w:rFonts w:ascii="Times New Roman" w:eastAsia="Times New Roman" w:hAnsi="Times New Roman" w:cs="Times New Roman"/>
          <w:sz w:val="28"/>
          <w:szCs w:val="28"/>
        </w:rPr>
        <w:t>высоко-технологичное</w:t>
      </w:r>
      <w:proofErr w:type="spellEnd"/>
      <w:proofErr w:type="gram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 и инновационное оборудование, промышленное оборудование, оборудование в сфере переработки и хранения сельскохозяйственной продукции.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Процентная ставка: 6% </w:t>
      </w:r>
      <w:proofErr w:type="gramStart"/>
      <w:r w:rsidRPr="001F5A91">
        <w:rPr>
          <w:rFonts w:ascii="Times New Roman" w:eastAsia="Times New Roman" w:hAnsi="Times New Roman" w:cs="Times New Roman"/>
          <w:sz w:val="28"/>
          <w:szCs w:val="28"/>
        </w:rPr>
        <w:t>годовых</w:t>
      </w:r>
      <w:proofErr w:type="gram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 – для российского оборудования; 8% годовых – для иностранного оборудования.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Сумма финансирования: от 5 </w:t>
      </w:r>
      <w:proofErr w:type="spellStart"/>
      <w:proofErr w:type="gramStart"/>
      <w:r w:rsidRPr="001F5A91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 рублей до 200 </w:t>
      </w:r>
      <w:proofErr w:type="spellStart"/>
      <w:r w:rsidRPr="001F5A91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Подробная информация об условиях получения поддержки размещена на сайте Корпорации МСП </w:t>
      </w:r>
      <w:hyperlink r:id="rId7" w:history="1">
        <w:r w:rsidRPr="00B12C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https://corpmsp.ru/</w:t>
        </w:r>
      </w:hyperlink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>4.                  Гарантийная поддержка.</w:t>
      </w:r>
      <w:r w:rsidR="00B12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Гарантийный фонд Приморского края и Корпорация МСП.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Гарантийный фонд - предоставляет поручительство по кредитным договорам, договорам лизинга и банковской гарантии компаниям малого и среднего </w:t>
      </w:r>
      <w:proofErr w:type="spellStart"/>
      <w:r w:rsidRPr="001F5A91">
        <w:rPr>
          <w:rFonts w:ascii="Times New Roman" w:eastAsia="Times New Roman" w:hAnsi="Times New Roman" w:cs="Times New Roman"/>
          <w:sz w:val="28"/>
          <w:szCs w:val="28"/>
        </w:rPr>
        <w:t>бизнеса.</w:t>
      </w:r>
      <w:hyperlink r:id="rId8" w:history="1">
        <w:r w:rsidRPr="00B12C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www.garantprim.ru</w:t>
        </w:r>
        <w:proofErr w:type="spellEnd"/>
      </w:hyperlink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, (423) 2-440-440, </w:t>
      </w:r>
      <w:hyperlink r:id="rId9" w:history="1">
        <w:r w:rsidRPr="00B12C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info@garantprim.ru</w:t>
        </w:r>
      </w:hyperlink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Национальная гарантийная система - предоставляет поручительство по кредитным договорам, договорам лизинга и банковской гарантии компаниям малого и среднего бизнеса от 25 млн. рублей, а также гарантии в рамках 223-ФЗ и 44-ФЗ. corpmsp.ru/finansovaya-podderzhka/garantiynaya-podderzhka-subektov-msp-ngs/.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 Имущественная поддержка: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Органами власти сформирован реестр имущества, для предоставления субъектам МСП. Сегодня в реестре свыше 550 объектов. </w:t>
      </w:r>
      <w:proofErr w:type="spellStart"/>
      <w:r w:rsidRPr="001F5A91">
        <w:rPr>
          <w:rFonts w:ascii="Times New Roman" w:eastAsia="Times New Roman" w:hAnsi="Times New Roman" w:cs="Times New Roman"/>
          <w:sz w:val="28"/>
          <w:szCs w:val="28"/>
        </w:rPr>
        <w:t>mb.primorsky.ru</w:t>
      </w:r>
      <w:proofErr w:type="spellEnd"/>
      <w:r w:rsidRPr="001F5A9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1F5A91">
        <w:rPr>
          <w:rFonts w:ascii="Times New Roman" w:eastAsia="Times New Roman" w:hAnsi="Times New Roman" w:cs="Times New Roman"/>
          <w:sz w:val="28"/>
          <w:szCs w:val="28"/>
        </w:rPr>
        <w:t>start</w:t>
      </w:r>
      <w:proofErr w:type="spellEnd"/>
      <w:r w:rsidRPr="001F5A9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1F5A91">
        <w:rPr>
          <w:rFonts w:ascii="Times New Roman" w:eastAsia="Times New Roman" w:hAnsi="Times New Roman" w:cs="Times New Roman"/>
          <w:sz w:val="28"/>
          <w:szCs w:val="28"/>
        </w:rPr>
        <w:t>locations</w:t>
      </w:r>
      <w:proofErr w:type="spell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 Налоговые льготы: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>Сегодня в Приморском крае действует режим «Налоговые каникулы» (освобождение от уплаты УСН или ПСН в течени</w:t>
      </w:r>
      <w:proofErr w:type="gramStart"/>
      <w:r w:rsidRPr="001F5A9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 двух налоговых периодов) для предпринимателей, плательщиков упрощенной и патентной систем налогообложения, введенный законами Приморского края от 23.06.2015 </w:t>
      </w:r>
      <w:r w:rsidRPr="001F5A91">
        <w:rPr>
          <w:rFonts w:ascii="Times New Roman" w:eastAsia="Times New Roman" w:hAnsi="Times New Roman" w:cs="Times New Roman"/>
          <w:sz w:val="28"/>
          <w:szCs w:val="28"/>
        </w:rPr>
        <w:br/>
        <w:t xml:space="preserve">№ 645-КЗ и от 19.11.2015 № 713-КЗ.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Также действует закон Приморского края от 13.12.2018 № 414-КЗ </w:t>
      </w:r>
      <w:r w:rsidRPr="001F5A91">
        <w:rPr>
          <w:rFonts w:ascii="Times New Roman" w:eastAsia="Times New Roman" w:hAnsi="Times New Roman" w:cs="Times New Roman"/>
          <w:sz w:val="28"/>
          <w:szCs w:val="28"/>
        </w:rPr>
        <w:br/>
        <w:t xml:space="preserve">«Об установлении пониженных налоговых ставок при применении упрощенной системы налогообложения».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>Закон вводит два вида льготных налоговых ставок. В случае</w:t>
      </w:r>
      <w:proofErr w:type="gramStart"/>
      <w:r w:rsidRPr="001F5A9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 если объектом налогообложения являются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- доходы, ставка составляет 3%,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- разница между доходами и расходами - 7,5%.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 Информационная поддержка: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На базе автономной некоммерческой организации «Центр поддержки предпринимательства Приморского края» создана единая площадка для бизнеса– </w:t>
      </w:r>
      <w:proofErr w:type="gramStart"/>
      <w:r w:rsidRPr="001F5A91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gram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нтр «Мой бизнес», включающая в себя субъекты инфраструктуры поддержки малого и среднего предпринимательства Приморского края: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- Центр поддержки предпринимательства,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- Центр инноваций социальной сферы,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- Региональный инжиниринговый центр,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- Центр поддержки экспорта. </w:t>
      </w:r>
    </w:p>
    <w:p w:rsidR="001F5A91" w:rsidRPr="001F5A91" w:rsidRDefault="00B12C1B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1F5A91" w:rsidRPr="001F5A91">
        <w:rPr>
          <w:rFonts w:ascii="Times New Roman" w:eastAsia="Times New Roman" w:hAnsi="Times New Roman" w:cs="Times New Roman"/>
          <w:sz w:val="28"/>
          <w:szCs w:val="28"/>
        </w:rPr>
        <w:t>В рамках деятельности Центра поддержки предпринимательства Приморского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F5A91" w:rsidRPr="001F5A91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предусмотрено оказание комплексной информационно-консультационной поддержки собственников малого и среднего бизнеса, их сотрудников и тех, кто только планирует начать свое дело, организация обучающих мероприятий (тренинги, семинары), публичных мероприятий (форумы, конференции, стратегические сессии), а также финансирование затрат, связанных с сертификацией продукции, проведением патентных исследований, участием в выставочно-ярмарочных мероприятиях. </w:t>
      </w:r>
      <w:proofErr w:type="gramEnd"/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Регионального центра инжиниринга Приморского края направлена на организацию предоставления сервисных услуг для предприятий, осуществляющих деятельность в области промышленного и сельскохозяйственного производства, а также разработку </w:t>
      </w:r>
      <w:r w:rsidRPr="001F5A91">
        <w:rPr>
          <w:rFonts w:ascii="Times New Roman" w:eastAsia="Times New Roman" w:hAnsi="Times New Roman" w:cs="Times New Roman"/>
          <w:sz w:val="28"/>
          <w:szCs w:val="28"/>
        </w:rPr>
        <w:br/>
        <w:t>и внедрение инновационной продукции, в том числе: инженерно-консультационные, проектно-конструкторские и расчетно-аналитические услуги, связанные с проектированием производственных линий и процессов, подготовка программ модернизации, развития и технического перевооружения производства, проведение технических аудитов на предприятиях, составление ТЭО, бизнес-планов</w:t>
      </w:r>
      <w:proofErr w:type="gram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 и инвестиционных проектов, проведение работ по сертификации, маркетингу и защите прав интеллектуальной собственности, проведение </w:t>
      </w:r>
      <w:proofErr w:type="spellStart"/>
      <w:proofErr w:type="gramStart"/>
      <w:r w:rsidRPr="001F5A91">
        <w:rPr>
          <w:rFonts w:ascii="Times New Roman" w:eastAsia="Times New Roman" w:hAnsi="Times New Roman" w:cs="Times New Roman"/>
          <w:sz w:val="28"/>
          <w:szCs w:val="28"/>
        </w:rPr>
        <w:t>экспресс-оценки</w:t>
      </w:r>
      <w:proofErr w:type="spellEnd"/>
      <w:proofErr w:type="gram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 индекса технологической готовности, экспертное сопровождение с привлечением иностранных экспертов и ряд других услуг, в том числе по вопросам участия в закупках крупнейших заказчиков.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>Услуги способствуют повышению технологической готовности субъектов малого и среднего предпринимательства за счет обеспечения решения возникающих</w:t>
      </w:r>
      <w:r w:rsidR="00B12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проектных, инженерных, технологических </w:t>
      </w:r>
      <w:r w:rsidRPr="001F5A91">
        <w:rPr>
          <w:rFonts w:ascii="Times New Roman" w:eastAsia="Times New Roman" w:hAnsi="Times New Roman" w:cs="Times New Roman"/>
          <w:sz w:val="28"/>
          <w:szCs w:val="28"/>
        </w:rPr>
        <w:br/>
        <w:t xml:space="preserve">и организационно-внедренческих задач. </w:t>
      </w:r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5A91">
        <w:rPr>
          <w:rFonts w:ascii="Times New Roman" w:eastAsia="Times New Roman" w:hAnsi="Times New Roman" w:cs="Times New Roman"/>
          <w:sz w:val="28"/>
          <w:szCs w:val="28"/>
        </w:rPr>
        <w:t>Деятельность Центра инноваций социальной сферы Приморского края направлена на системную работу по оказанию информационно-аналитической, консультационной и организационной поддержки социальным предпринимателям и продвижению</w:t>
      </w:r>
      <w:r w:rsidR="00B12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A91">
        <w:rPr>
          <w:rFonts w:ascii="Times New Roman" w:eastAsia="Times New Roman" w:hAnsi="Times New Roman" w:cs="Times New Roman"/>
          <w:sz w:val="28"/>
          <w:szCs w:val="28"/>
        </w:rPr>
        <w:t>социально-предпринимательских проектов, в том числе: проведение специализированных обучающих и просветительских мероприятий по социальным тематикам, консультационное сопровождение деятельности, подготовка бизнес-плана</w:t>
      </w:r>
      <w:r w:rsidR="00B12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и финансовой модели социального проекта, информационное продвижение, проведение регионального этапа ежегодного Всероссийского конкурса «Лучший социальный проект года». </w:t>
      </w:r>
      <w:proofErr w:type="gramEnd"/>
    </w:p>
    <w:p w:rsidR="001F5A91" w:rsidRPr="001F5A91" w:rsidRDefault="001F5A91" w:rsidP="00B12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Центр поддержки экспорта Приморского края оказывает комплексное сопровождение </w:t>
      </w:r>
      <w:proofErr w:type="spellStart"/>
      <w:r w:rsidRPr="001F5A91">
        <w:rPr>
          <w:rFonts w:ascii="Times New Roman" w:eastAsia="Times New Roman" w:hAnsi="Times New Roman" w:cs="Times New Roman"/>
          <w:sz w:val="28"/>
          <w:szCs w:val="28"/>
        </w:rPr>
        <w:t>экспортно</w:t>
      </w:r>
      <w:proofErr w:type="spell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ориентированных субъектов МСП Приморского края, а также действующих экспортеров в процессе выхода на международные рынки. </w:t>
      </w:r>
      <w:proofErr w:type="gramStart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Первичное консультирование, определение плана </w:t>
      </w:r>
      <w:r w:rsidRPr="001F5A91">
        <w:rPr>
          <w:rFonts w:ascii="Times New Roman" w:eastAsia="Times New Roman" w:hAnsi="Times New Roman" w:cs="Times New Roman"/>
          <w:sz w:val="28"/>
          <w:szCs w:val="28"/>
        </w:rPr>
        <w:lastRenderedPageBreak/>
        <w:t>выхода на зарубежный рынок, содействие в приведении упаковки к требованиям иностранного рынка, сертификации продукции, презентация продукции на международных выставочных мероприятий, организация переговоров на территории Приморского края и зарубежных стран, размещение на международных электронных площадках, правовое сопровождение экспортного контракта – базовый алгоритм взаимодействия с предпринимателями края, планирующими выйти на иностранные рынки или расширить географию поставок.</w:t>
      </w:r>
      <w:proofErr w:type="gramEnd"/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Дополнительно, на площадке Центра поддержки экспорта Приморского края реализуется специализированная акселерационная программа «Энергия экспорта», ориентированная на рынок КНР, а также</w:t>
      </w:r>
      <w:r w:rsidR="00B12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A91">
        <w:rPr>
          <w:rFonts w:ascii="Times New Roman" w:eastAsia="Times New Roman" w:hAnsi="Times New Roman" w:cs="Times New Roman"/>
          <w:sz w:val="28"/>
          <w:szCs w:val="28"/>
        </w:rPr>
        <w:t xml:space="preserve">модули специализированной образовательной программы АНО ДПО «Школа экспорта РЭЦ». </w:t>
      </w:r>
    </w:p>
    <w:p w:rsidR="000A49A9" w:rsidRPr="00B12C1B" w:rsidRDefault="000A49A9" w:rsidP="00B12C1B">
      <w:pPr>
        <w:jc w:val="both"/>
        <w:rPr>
          <w:sz w:val="28"/>
          <w:szCs w:val="28"/>
        </w:rPr>
      </w:pPr>
    </w:p>
    <w:sectPr w:rsidR="000A49A9" w:rsidRPr="00B12C1B" w:rsidSect="00EC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A91"/>
    <w:rsid w:val="000A49A9"/>
    <w:rsid w:val="001F5A91"/>
    <w:rsid w:val="00B12C1B"/>
    <w:rsid w:val="00E9586F"/>
    <w:rsid w:val="00EC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78"/>
  </w:style>
  <w:style w:type="paragraph" w:styleId="1">
    <w:name w:val="heading 1"/>
    <w:basedOn w:val="a"/>
    <w:link w:val="10"/>
    <w:uiPriority w:val="9"/>
    <w:qFormat/>
    <w:rsid w:val="001F5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A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F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F5A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pri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rpms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b.primorsky.ru/guide/micro-cred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b.primorsky.ru/services/3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msp.nalog.ru/" TargetMode="External"/><Relationship Id="rId9" Type="http://schemas.openxmlformats.org/officeDocument/2006/relationships/hyperlink" Target="mailto:info@garantp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Чемерюк</dc:creator>
  <cp:lastModifiedBy>Чемерюк</cp:lastModifiedBy>
  <cp:revision>4</cp:revision>
  <dcterms:created xsi:type="dcterms:W3CDTF">2019-12-25T05:43:00Z</dcterms:created>
  <dcterms:modified xsi:type="dcterms:W3CDTF">2019-12-25T06:26:00Z</dcterms:modified>
</cp:coreProperties>
</file>