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 xml:space="preserve">земли сельскохозяйственного назначения 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9309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25:04:000000:389</w:t>
            </w:r>
            <w:r w:rsidR="00B81CF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Администрация Кавалеровского муниципального района, п. Кавалерово ул. Арсеньева 104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3093">
              <w:rPr>
                <w:rFonts w:ascii="Times New Roman" w:hAnsi="Times New Roman" w:cs="Times New Roman"/>
                <w:bCs/>
              </w:rPr>
              <w:t>Чепурная</w:t>
            </w:r>
            <w:proofErr w:type="spellEnd"/>
            <w:r w:rsidRPr="00D93093">
              <w:rPr>
                <w:rFonts w:ascii="Times New Roman" w:hAnsi="Times New Roman" w:cs="Times New Roman"/>
                <w:bCs/>
              </w:rPr>
              <w:t xml:space="preserve"> Татьяна Викторовна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и.о. заместителя главы администрации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office@adkav.ru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http://kavalerovsky.ru/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93093" w:rsidP="00B81C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Приморский край, Кавалеровский район, вершина </w:t>
            </w:r>
            <w:proofErr w:type="gramStart"/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81CFB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Зеркальная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93093" w:rsidP="00B81CF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рядом с </w:t>
            </w:r>
            <w:r w:rsidR="0002703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>елом</w:t>
            </w:r>
            <w:r w:rsidR="0002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81CFB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</w:t>
            </w:r>
            <w:proofErr w:type="gramEnd"/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км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1C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C2C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B81CF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270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Площадь, га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B81CFB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1470,4</w:t>
            </w:r>
            <w:r w:rsidR="00D9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90757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ровная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суглинок</w:t>
            </w:r>
          </w:p>
        </w:tc>
      </w:tr>
      <w:tr w:rsidR="007062A3" w:rsidRPr="0030662A" w:rsidTr="00D46B62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90757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инвестиционной площадке прилегает автомобильная дорога регионального значения «Устиновка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протяженностью 40 км. Покрытие 14,5 км – асфальтобетон, остальное грунтовое 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мобильная связь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7062A3" w:rsidRPr="0030662A" w:rsidTr="00D46B62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DD180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D1807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DD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D180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площадка предоставляется в аренду. В соответствии с Порядком определения размера арендной платы, находящиеся в собственности Кавалеровского муниципального района и предоставления в аренду без торгов, утвержденным решением Думы Кавалеровского муниципального района № 290-НПА от 28.04.2017 размер арендной платы составляет 0,15 % от кадастровой стоимости в год.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54169F" w:rsidP="000C2C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инвестиционной площадки возможно для сельскохозяйственного производства, а именно: на сельскохозяйственных угодьях возможно выращивание картофеля, овощей, ранних зерновых культур, заготовка кормов для сельскохозяйственных животных, возведение теплиц;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облесенных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участках возможен выпас скота, развитие мясного животноводства</w:t>
            </w:r>
            <w:r w:rsidR="000C2CEE">
              <w:rPr>
                <w:rFonts w:ascii="Times New Roman" w:hAnsi="Times New Roman" w:cs="Times New Roman"/>
                <w:bCs/>
                <w:sz w:val="24"/>
                <w:szCs w:val="24"/>
              </w:rPr>
              <w:t>, развитие сельского туризма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CFB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часть площадки расположена (870 га) под защитой от паводковых вод дамбой обвалования «</w:t>
            </w:r>
            <w:proofErr w:type="spellStart"/>
            <w:r w:rsidR="00B81CFB">
              <w:rPr>
                <w:rFonts w:ascii="Times New Roman" w:hAnsi="Times New Roman" w:cs="Times New Roman"/>
                <w:bCs/>
                <w:sz w:val="24"/>
                <w:szCs w:val="24"/>
              </w:rPr>
              <w:t>Горнореченская</w:t>
            </w:r>
            <w:proofErr w:type="spellEnd"/>
            <w:r w:rsidR="00B81CFB">
              <w:rPr>
                <w:rFonts w:ascii="Times New Roman" w:hAnsi="Times New Roman" w:cs="Times New Roman"/>
                <w:bCs/>
                <w:sz w:val="24"/>
                <w:szCs w:val="24"/>
              </w:rPr>
              <w:t>», капитальный ремонт которой запланирован на 2020 год.</w:t>
            </w:r>
          </w:p>
        </w:tc>
      </w:tr>
      <w:tr w:rsidR="007062A3" w:rsidRPr="00DD1807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D1807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Ситуационный план территории (</w:t>
            </w:r>
            <w:proofErr w:type="spellStart"/>
            <w:r w:rsidRPr="00DD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DD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54169F" w:rsidRDefault="00DD180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753475" cy="4743450"/>
                  <wp:effectExtent l="19050" t="0" r="9525" b="0"/>
                  <wp:docPr id="1" name="Рисунок 1" descr="C:\Users\Лапоха\Desktop\Инвест проекты\Инвест площадки\ситуация 38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оха\Desktop\Инвест проекты\Инвест площадки\ситуация 38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475" cy="474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2A3" w:rsidRPr="0030662A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807" w:rsidRDefault="00DD1807" w:rsidP="00DD1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администрации Кавалеровского </w:t>
      </w:r>
    </w:p>
    <w:p w:rsidR="00DD1807" w:rsidRDefault="00DD1807" w:rsidP="00DD1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– глава </w:t>
      </w:r>
    </w:p>
    <w:p w:rsidR="00DD1807" w:rsidRPr="00EF2ED6" w:rsidRDefault="00DD1807" w:rsidP="00DD1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Кавалеровского муниципального района                                                                                                                                                    С.Р.Гавриков</w:t>
      </w:r>
    </w:p>
    <w:p w:rsidR="00DD1807" w:rsidRPr="00641F54" w:rsidRDefault="00DD1807" w:rsidP="00DD180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DD1807" w:rsidRPr="00641F54" w:rsidRDefault="00DD1807" w:rsidP="00DD180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1807" w:rsidRPr="00641F54" w:rsidRDefault="00DD1807" w:rsidP="00DD180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 Лапоха Николай Викторович</w:t>
      </w:r>
    </w:p>
    <w:p w:rsidR="00DD1807" w:rsidRDefault="00DD1807" w:rsidP="00DD1807">
      <w:pPr>
        <w:spacing w:after="0"/>
        <w:jc w:val="both"/>
      </w:pPr>
      <w:r w:rsidRPr="00641F54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42375</w:t>
      </w:r>
      <w:r w:rsidRPr="00641F54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9-12-77</w:t>
      </w:r>
    </w:p>
    <w:p w:rsidR="00E525B6" w:rsidRDefault="00297175"/>
    <w:sectPr w:rsidR="00E525B6" w:rsidSect="00DD18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9A"/>
    <w:rsid w:val="00027037"/>
    <w:rsid w:val="000C2CEE"/>
    <w:rsid w:val="00297175"/>
    <w:rsid w:val="002E3A9A"/>
    <w:rsid w:val="0054169F"/>
    <w:rsid w:val="00564EA5"/>
    <w:rsid w:val="007062A3"/>
    <w:rsid w:val="00907572"/>
    <w:rsid w:val="0092362D"/>
    <w:rsid w:val="009311F0"/>
    <w:rsid w:val="009B78C2"/>
    <w:rsid w:val="00B81A7E"/>
    <w:rsid w:val="00B81CFB"/>
    <w:rsid w:val="00D44A97"/>
    <w:rsid w:val="00D93093"/>
    <w:rsid w:val="00DD1807"/>
    <w:rsid w:val="00DD743B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Лапоха</cp:lastModifiedBy>
  <cp:revision>6</cp:revision>
  <dcterms:created xsi:type="dcterms:W3CDTF">2019-09-09T03:41:00Z</dcterms:created>
  <dcterms:modified xsi:type="dcterms:W3CDTF">2019-09-09T23:46:00Z</dcterms:modified>
</cp:coreProperties>
</file>