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9" w:rsidRDefault="00426FA9" w:rsidP="00426FA9">
      <w:pPr>
        <w:pStyle w:val="2"/>
        <w:jc w:val="center"/>
      </w:pPr>
      <w:r w:rsidRPr="002E51B5">
        <w:t>Ту</w:t>
      </w:r>
      <w:bookmarkStart w:id="0" w:name="_GoBack"/>
      <w:bookmarkEnd w:id="0"/>
      <w:r w:rsidRPr="002E51B5">
        <w:t>ристская инфраструктура для лиц с ограниченными возможностями здоровья</w:t>
      </w:r>
    </w:p>
    <w:p w:rsidR="00426FA9" w:rsidRDefault="00426FA9" w:rsidP="00426FA9">
      <w:pPr>
        <w:ind w:firstLine="1068"/>
        <w:jc w:val="both"/>
        <w:rPr>
          <w:b/>
          <w:color w:val="000000"/>
          <w:sz w:val="28"/>
          <w:szCs w:val="28"/>
        </w:rPr>
      </w:pPr>
    </w:p>
    <w:p w:rsidR="00426FA9" w:rsidRPr="000D13AE" w:rsidRDefault="00426FA9" w:rsidP="00426FA9">
      <w:pPr>
        <w:ind w:firstLine="1068"/>
        <w:jc w:val="both"/>
        <w:rPr>
          <w:color w:val="000000"/>
          <w:sz w:val="28"/>
          <w:szCs w:val="28"/>
        </w:rPr>
      </w:pPr>
      <w:r w:rsidRPr="000D13AE">
        <w:rPr>
          <w:color w:val="000000"/>
          <w:sz w:val="28"/>
          <w:szCs w:val="28"/>
        </w:rPr>
        <w:t>На территории Минераловодского городского</w:t>
      </w:r>
      <w:r>
        <w:rPr>
          <w:color w:val="000000"/>
          <w:sz w:val="28"/>
          <w:szCs w:val="28"/>
        </w:rPr>
        <w:t xml:space="preserve"> </w:t>
      </w:r>
      <w:r w:rsidRPr="000D13AE">
        <w:rPr>
          <w:color w:val="000000"/>
          <w:sz w:val="28"/>
          <w:szCs w:val="28"/>
        </w:rPr>
        <w:t>округа имеются следующие объекты показа, предназначенные для лиц с ограниченными возможностями здоровья</w:t>
      </w:r>
      <w:r>
        <w:rPr>
          <w:color w:val="000000"/>
          <w:sz w:val="28"/>
          <w:szCs w:val="28"/>
        </w:rPr>
        <w:t>:</w:t>
      </w:r>
    </w:p>
    <w:p w:rsidR="00426FA9" w:rsidRPr="002E51B5" w:rsidRDefault="00426FA9" w:rsidP="00426FA9">
      <w:pPr>
        <w:ind w:firstLine="106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983"/>
        <w:gridCol w:w="4050"/>
      </w:tblGrid>
      <w:tr w:rsidR="00426FA9" w:rsidRPr="00816748" w:rsidTr="00E07B75">
        <w:trPr>
          <w:jc w:val="center"/>
        </w:trPr>
        <w:tc>
          <w:tcPr>
            <w:tcW w:w="566" w:type="dxa"/>
          </w:tcPr>
          <w:p w:rsidR="00426FA9" w:rsidRPr="00816748" w:rsidRDefault="00426FA9" w:rsidP="00E07B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3" w:type="dxa"/>
          </w:tcPr>
          <w:p w:rsidR="00426FA9" w:rsidRPr="00816748" w:rsidRDefault="00426FA9" w:rsidP="00E07B75">
            <w:pPr>
              <w:jc w:val="center"/>
            </w:pPr>
            <w:r>
              <w:t>Наименование объекта</w:t>
            </w:r>
          </w:p>
        </w:tc>
        <w:tc>
          <w:tcPr>
            <w:tcW w:w="4050" w:type="dxa"/>
          </w:tcPr>
          <w:p w:rsidR="00426FA9" w:rsidRPr="00816748" w:rsidRDefault="00426FA9" w:rsidP="00E07B75">
            <w:pPr>
              <w:jc w:val="center"/>
            </w:pPr>
            <w:r>
              <w:t>Адрес местоположения объекта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1.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АО «Терский племенной конный завод № 169»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 xml:space="preserve">Минераловодский район, </w:t>
            </w:r>
          </w:p>
          <w:p w:rsidR="00426FA9" w:rsidRDefault="00426FA9" w:rsidP="00E07B75">
            <w:pPr>
              <w:snapToGrid w:val="0"/>
              <w:spacing w:line="240" w:lineRule="exact"/>
            </w:pPr>
            <w:r>
              <w:t>пос. Новотерский, ул. Школьная, д.2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2.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Памятник генералу Ермолову А.П.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г. Минеральные Воды, сквер «Надежда»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3.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Мемориал «Огонь Вечной Славы»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г. Минеральные Воды, пл. 30 лет Победы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4.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 xml:space="preserve">Музей </w:t>
            </w:r>
            <w:r w:rsidRPr="00586887">
              <w:rPr>
                <w:color w:val="000000"/>
                <w:shd w:val="clear" w:color="auto" w:fill="FFFFFF"/>
              </w:rPr>
              <w:t xml:space="preserve">истории Минераловодского региона Северо-Кавказской </w:t>
            </w:r>
            <w:r>
              <w:t xml:space="preserve">железной дороги  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 xml:space="preserve">г. Минеральные Воды, пл. </w:t>
            </w:r>
            <w:proofErr w:type="gramStart"/>
            <w:r>
              <w:t>Привокзальная</w:t>
            </w:r>
            <w:proofErr w:type="gramEnd"/>
            <w:r>
              <w:t>, 1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5.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Музей казачьей культуры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 xml:space="preserve">г. Минеральные Воды, ул. Пушкина, 87 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6.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Собор  Покрова Пресвятой Богородицы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 xml:space="preserve">г. Минеральные Воды, </w:t>
            </w:r>
          </w:p>
          <w:p w:rsidR="00426FA9" w:rsidRDefault="00426FA9" w:rsidP="00E07B75">
            <w:pPr>
              <w:snapToGrid w:val="0"/>
              <w:spacing w:line="240" w:lineRule="exact"/>
            </w:pPr>
            <w:r>
              <w:t>ул. Пятигорская, 35</w:t>
            </w:r>
          </w:p>
        </w:tc>
      </w:tr>
      <w:tr w:rsidR="00426FA9" w:rsidTr="00E07B75">
        <w:trPr>
          <w:jc w:val="center"/>
        </w:trPr>
        <w:tc>
          <w:tcPr>
            <w:tcW w:w="566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7.</w:t>
            </w:r>
          </w:p>
        </w:tc>
        <w:tc>
          <w:tcPr>
            <w:tcW w:w="4983" w:type="dxa"/>
          </w:tcPr>
          <w:p w:rsidR="00426FA9" w:rsidRDefault="00426FA9" w:rsidP="00E07B75">
            <w:pPr>
              <w:snapToGrid w:val="0"/>
              <w:spacing w:line="240" w:lineRule="exact"/>
              <w:jc w:val="both"/>
            </w:pPr>
            <w:r>
              <w:t>Церковь Святого Великомученика Георгия  Победоносца</w:t>
            </w:r>
          </w:p>
        </w:tc>
        <w:tc>
          <w:tcPr>
            <w:tcW w:w="4050" w:type="dxa"/>
          </w:tcPr>
          <w:p w:rsidR="00426FA9" w:rsidRDefault="00426FA9" w:rsidP="00E07B75">
            <w:pPr>
              <w:snapToGrid w:val="0"/>
              <w:spacing w:line="240" w:lineRule="exact"/>
            </w:pPr>
            <w:r>
              <w:t>Минераловодский район,</w:t>
            </w:r>
          </w:p>
          <w:p w:rsidR="00426FA9" w:rsidRDefault="00426FA9" w:rsidP="00E07B75">
            <w:pPr>
              <w:snapToGrid w:val="0"/>
              <w:spacing w:line="240" w:lineRule="exact"/>
            </w:pPr>
            <w:r>
              <w:t xml:space="preserve">с. </w:t>
            </w:r>
            <w:proofErr w:type="gramStart"/>
            <w:r>
              <w:t>Греческое</w:t>
            </w:r>
            <w:proofErr w:type="gramEnd"/>
            <w:r>
              <w:t>, ул. Мира, 55</w:t>
            </w:r>
          </w:p>
        </w:tc>
      </w:tr>
    </w:tbl>
    <w:p w:rsidR="00426FA9" w:rsidRDefault="00426FA9" w:rsidP="00426FA9">
      <w:pPr>
        <w:ind w:firstLine="1068"/>
        <w:jc w:val="both"/>
      </w:pPr>
    </w:p>
    <w:p w:rsidR="00426FA9" w:rsidRDefault="00426FA9" w:rsidP="00426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>
        <w:rPr>
          <w:bCs/>
          <w:sz w:val="28"/>
          <w:szCs w:val="28"/>
        </w:rPr>
        <w:t xml:space="preserve">ООО «Санаторий «Минеральные Воды-2» </w:t>
      </w:r>
      <w:r>
        <w:rPr>
          <w:sz w:val="28"/>
          <w:szCs w:val="28"/>
        </w:rPr>
        <w:t xml:space="preserve">и в гостинице «Татьяна» имеются условия для отдыха гостей с ограниченными возможностями. </w:t>
      </w:r>
    </w:p>
    <w:p w:rsidR="00040AA9" w:rsidRDefault="00040AA9"/>
    <w:sectPr w:rsidR="0004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6"/>
    <w:rsid w:val="00040AA9"/>
    <w:rsid w:val="00426FA9"/>
    <w:rsid w:val="0051261C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26FA9"/>
    <w:pPr>
      <w:outlineLvl w:val="1"/>
    </w:pPr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FA9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26FA9"/>
    <w:pPr>
      <w:outlineLvl w:val="1"/>
    </w:pPr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FA9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2020-01-12T12:18:00Z</dcterms:created>
  <dcterms:modified xsi:type="dcterms:W3CDTF">2020-01-12T12:18:00Z</dcterms:modified>
</cp:coreProperties>
</file>