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5184" w:rsidRPr="004C5184" w:rsidRDefault="004C5184" w:rsidP="004C5184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организатор аукциона) –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Управление имущественных отношений администрации Минераловодского городского округа юридический адрес: 357212, Ставропольский край, г. Минеральные Воды, ул.50 лет Октября 87 А</w:t>
      </w:r>
      <w:r w:rsidRPr="004C5184">
        <w:rPr>
          <w:rFonts w:ascii="Times New Roman" w:hAnsi="Times New Roman"/>
          <w:sz w:val="20"/>
          <w:szCs w:val="20"/>
        </w:rPr>
        <w:t>,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телефон/факс: (87922) 6-18-54 (далее – организатор). </w:t>
      </w:r>
    </w:p>
    <w:p w:rsidR="004C5184" w:rsidRPr="004C5184" w:rsidRDefault="004C5184" w:rsidP="004C5184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постановление администрации Минераловодского городского округа Ставропольского края от 12.0</w:t>
      </w:r>
      <w:r w:rsidR="00E870D8">
        <w:rPr>
          <w:rFonts w:ascii="Times New Roman" w:hAnsi="Times New Roman"/>
          <w:color w:val="000000"/>
          <w:sz w:val="20"/>
          <w:szCs w:val="20"/>
        </w:rPr>
        <w:t>2</w:t>
      </w:r>
      <w:r w:rsidRPr="004C5184">
        <w:rPr>
          <w:rFonts w:ascii="Times New Roman" w:hAnsi="Times New Roman"/>
          <w:color w:val="000000"/>
          <w:sz w:val="20"/>
          <w:szCs w:val="20"/>
        </w:rPr>
        <w:t>.201</w:t>
      </w:r>
      <w:r w:rsidR="00E870D8">
        <w:rPr>
          <w:rFonts w:ascii="Times New Roman" w:hAnsi="Times New Roman"/>
          <w:color w:val="000000"/>
          <w:sz w:val="20"/>
          <w:szCs w:val="20"/>
        </w:rPr>
        <w:t>8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г. № </w:t>
      </w:r>
      <w:r w:rsidR="00E870D8">
        <w:rPr>
          <w:rFonts w:ascii="Times New Roman" w:hAnsi="Times New Roman"/>
          <w:color w:val="000000"/>
          <w:sz w:val="20"/>
          <w:szCs w:val="20"/>
        </w:rPr>
        <w:t>283</w:t>
      </w:r>
      <w:r w:rsidRPr="004C5184">
        <w:rPr>
          <w:rFonts w:ascii="Times New Roman" w:hAnsi="Times New Roman"/>
          <w:color w:val="000000"/>
          <w:sz w:val="20"/>
          <w:szCs w:val="20"/>
        </w:rPr>
        <w:t>, ст. 39.11, 39.12 Земельного</w:t>
      </w:r>
      <w:bookmarkStart w:id="0" w:name="_GoBack"/>
      <w:bookmarkEnd w:id="0"/>
      <w:r w:rsidRPr="004C5184">
        <w:rPr>
          <w:rFonts w:ascii="Times New Roman" w:hAnsi="Times New Roman"/>
          <w:color w:val="000000"/>
          <w:sz w:val="20"/>
          <w:szCs w:val="20"/>
        </w:rPr>
        <w:t xml:space="preserve"> кодекса РФ.</w:t>
      </w:r>
    </w:p>
    <w:p w:rsidR="004C5184" w:rsidRPr="004C5184" w:rsidRDefault="004C5184" w:rsidP="004C5184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и форме подачи предложений о цене.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4C5184">
        <w:rPr>
          <w:rFonts w:ascii="Times New Roman" w:hAnsi="Times New Roman"/>
          <w:color w:val="000000"/>
          <w:sz w:val="20"/>
          <w:szCs w:val="20"/>
        </w:rPr>
        <w:t>наибольший размер ежегодной арендной платы за выставляемый земельный участок.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Осмотр земельного участка </w:t>
      </w:r>
      <w:r w:rsidRPr="004C5184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="00AA4192" w:rsidRPr="00AA4192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4C5184">
        <w:rPr>
          <w:rFonts w:ascii="Times New Roman" w:hAnsi="Times New Roman"/>
          <w:b/>
          <w:bCs/>
          <w:sz w:val="20"/>
          <w:szCs w:val="20"/>
        </w:rPr>
        <w:t>1.0</w:t>
      </w:r>
      <w:r w:rsidR="00E870D8">
        <w:rPr>
          <w:rFonts w:ascii="Times New Roman" w:hAnsi="Times New Roman"/>
          <w:b/>
          <w:bCs/>
          <w:sz w:val="20"/>
          <w:szCs w:val="20"/>
        </w:rPr>
        <w:t>3</w:t>
      </w:r>
      <w:r w:rsidRPr="004C5184">
        <w:rPr>
          <w:rFonts w:ascii="Times New Roman" w:hAnsi="Times New Roman"/>
          <w:b/>
          <w:bCs/>
          <w:sz w:val="20"/>
          <w:szCs w:val="20"/>
        </w:rPr>
        <w:t>.201</w:t>
      </w:r>
      <w:r w:rsidR="00E870D8">
        <w:rPr>
          <w:rFonts w:ascii="Times New Roman" w:hAnsi="Times New Roman"/>
          <w:b/>
          <w:bCs/>
          <w:sz w:val="20"/>
          <w:szCs w:val="20"/>
        </w:rPr>
        <w:t>8</w:t>
      </w:r>
      <w:r w:rsidRPr="004C518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C5184">
        <w:rPr>
          <w:rFonts w:ascii="Times New Roman" w:hAnsi="Times New Roman"/>
          <w:bCs/>
          <w:sz w:val="20"/>
          <w:szCs w:val="20"/>
        </w:rPr>
        <w:t>года. Прием заявок осуществляется</w:t>
      </w:r>
      <w:r w:rsidRPr="004C518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C5184">
        <w:rPr>
          <w:rFonts w:ascii="Times New Roman" w:hAnsi="Times New Roman"/>
          <w:color w:val="000000"/>
          <w:sz w:val="20"/>
          <w:szCs w:val="20"/>
        </w:rPr>
        <w:t>ежедневно (кроме субботы и воскресенья) с 9 час. 00 мин. до 1</w:t>
      </w:r>
      <w:r w:rsidR="00E870D8">
        <w:rPr>
          <w:rFonts w:ascii="Times New Roman" w:hAnsi="Times New Roman"/>
          <w:color w:val="000000"/>
          <w:sz w:val="20"/>
          <w:szCs w:val="20"/>
        </w:rPr>
        <w:t>7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час. 00 мин по московскому времени по адресу: Ставропольский край, город Минеральные Воды, улица 50 лет Октября, 87 А, кабинет 26.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– </w:t>
      </w:r>
      <w:r w:rsidR="00AA4192">
        <w:rPr>
          <w:rFonts w:ascii="Times New Roman" w:hAnsi="Times New Roman"/>
          <w:b/>
          <w:bCs/>
          <w:color w:val="000000"/>
          <w:sz w:val="20"/>
          <w:szCs w:val="20"/>
        </w:rPr>
        <w:t>26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.0</w:t>
      </w:r>
      <w:r w:rsidR="00E870D8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.201</w:t>
      </w:r>
      <w:r w:rsidR="00E870D8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4C5184">
        <w:rPr>
          <w:rFonts w:ascii="Times New Roman" w:hAnsi="Times New Roman"/>
          <w:color w:val="000000"/>
          <w:sz w:val="20"/>
          <w:szCs w:val="20"/>
        </w:rPr>
        <w:t>1</w:t>
      </w:r>
      <w:r w:rsidR="00AA4192">
        <w:rPr>
          <w:rFonts w:ascii="Times New Roman" w:hAnsi="Times New Roman"/>
          <w:color w:val="000000"/>
          <w:sz w:val="20"/>
          <w:szCs w:val="20"/>
        </w:rPr>
        <w:t>7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час. 00 мин.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E870D8" w:rsidRPr="00E870D8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A4192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4C5184">
        <w:rPr>
          <w:rFonts w:ascii="Times New Roman" w:hAnsi="Times New Roman"/>
          <w:b/>
          <w:sz w:val="20"/>
          <w:szCs w:val="20"/>
        </w:rPr>
        <w:t>.0</w:t>
      </w:r>
      <w:r w:rsidR="00E870D8">
        <w:rPr>
          <w:rFonts w:ascii="Times New Roman" w:hAnsi="Times New Roman"/>
          <w:b/>
          <w:sz w:val="20"/>
          <w:szCs w:val="20"/>
        </w:rPr>
        <w:t>3</w:t>
      </w:r>
      <w:r w:rsidRPr="004C5184">
        <w:rPr>
          <w:rFonts w:ascii="Times New Roman" w:hAnsi="Times New Roman"/>
          <w:b/>
          <w:sz w:val="20"/>
          <w:szCs w:val="20"/>
        </w:rPr>
        <w:t>.201</w:t>
      </w:r>
      <w:r w:rsidR="00E870D8">
        <w:rPr>
          <w:rFonts w:ascii="Times New Roman" w:hAnsi="Times New Roman"/>
          <w:b/>
          <w:sz w:val="20"/>
          <w:szCs w:val="20"/>
        </w:rPr>
        <w:t>8</w:t>
      </w:r>
      <w:r w:rsidRPr="004C5184">
        <w:rPr>
          <w:rFonts w:ascii="Times New Roman" w:hAnsi="Times New Roman"/>
          <w:b/>
          <w:sz w:val="20"/>
          <w:szCs w:val="20"/>
        </w:rPr>
        <w:t xml:space="preserve"> года</w:t>
      </w:r>
      <w:r w:rsidRPr="004C5184">
        <w:rPr>
          <w:rFonts w:ascii="Times New Roman" w:hAnsi="Times New Roman"/>
          <w:sz w:val="20"/>
          <w:szCs w:val="20"/>
        </w:rPr>
        <w:t xml:space="preserve"> </w:t>
      </w:r>
      <w:r w:rsidR="009A063E">
        <w:rPr>
          <w:rFonts w:ascii="Times New Roman" w:hAnsi="Times New Roman"/>
          <w:sz w:val="20"/>
          <w:szCs w:val="20"/>
        </w:rPr>
        <w:t>в 14 ч. 3</w:t>
      </w:r>
      <w:r w:rsidRPr="004C5184">
        <w:rPr>
          <w:rFonts w:ascii="Times New Roman" w:hAnsi="Times New Roman"/>
          <w:sz w:val="20"/>
          <w:szCs w:val="20"/>
        </w:rPr>
        <w:t xml:space="preserve">0 мин по адресу: </w:t>
      </w:r>
      <w:r w:rsidRPr="004C5184">
        <w:rPr>
          <w:rFonts w:ascii="Times New Roman" w:hAnsi="Times New Roman"/>
          <w:color w:val="000000"/>
          <w:sz w:val="20"/>
          <w:szCs w:val="20"/>
        </w:rPr>
        <w:t>Ставропольский край, город Минеральные Воды, улица 50 лет Октября, 87а, кабинет 2</w:t>
      </w:r>
      <w:r w:rsidRPr="004C5184">
        <w:rPr>
          <w:rFonts w:ascii="Times New Roman" w:hAnsi="Times New Roman"/>
          <w:sz w:val="20"/>
          <w:szCs w:val="20"/>
        </w:rPr>
        <w:t xml:space="preserve">3. </w:t>
      </w:r>
    </w:p>
    <w:p w:rsidR="004C5184" w:rsidRPr="004C5184" w:rsidRDefault="004C5184" w:rsidP="004C5184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 по установленной организатором торгов форме. Форму заявки можно узнать в Управлении имущественных отношений администрации Минераловодского городского округа по адресу: Ставропольский край, город Минеральные Воды, улица 50 лет Октября, 87 А, кабинет 26 либо на сайте www.torgi.gov.ru в приложении к извещению о проведении данного аукциона.</w:t>
      </w:r>
    </w:p>
    <w:p w:rsidR="00181CAA" w:rsidRPr="00C73B6D" w:rsidRDefault="00BC5F88" w:rsidP="00C73B6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A42A8B" w:rsidRPr="00A42A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2D7F" w:rsidRPr="00206DFE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26:24:040138:5. Адрес (описание местоположения): установлено относительно ориентира, расположенного в границах участка, почтовый адрес ориентира: край Ставропольский, р-н Минераловодский, г. Минеральные Воды, ул. Энгельса, дом 106. Площадь земельного участка 1531 кв.м, разрешенное использование земельного участка – индивидуальное жилищное строительство, категория земель – земли населенных пунктов. Установить начальную цену предмета аукциона в размере ежегодной арендной платы в размере 200000 рублей. Установить «шаг аукциона» в размере трех процентов начальной цены предмета аукциона, что составляет </w:t>
      </w:r>
      <w:proofErr w:type="gramStart"/>
      <w:r w:rsidR="008F2D7F" w:rsidRPr="00206DFE">
        <w:rPr>
          <w:rFonts w:ascii="Times New Roman" w:hAnsi="Times New Roman"/>
          <w:color w:val="000000"/>
          <w:sz w:val="20"/>
          <w:szCs w:val="20"/>
        </w:rPr>
        <w:t>6000  рублей</w:t>
      </w:r>
      <w:proofErr w:type="gramEnd"/>
      <w:r w:rsidR="008F2D7F" w:rsidRPr="00206DFE">
        <w:rPr>
          <w:rFonts w:ascii="Times New Roman" w:hAnsi="Times New Roman"/>
          <w:color w:val="000000"/>
          <w:sz w:val="20"/>
          <w:szCs w:val="20"/>
        </w:rPr>
        <w:t>, для участия в аукционе установить задаток в размере 200000 рублей. Срок аренды – двадцать лет.</w:t>
      </w:r>
      <w:r w:rsidR="00C73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F2D7F">
        <w:rPr>
          <w:rFonts w:ascii="Times New Roman" w:hAnsi="Times New Roman"/>
          <w:color w:val="000000"/>
          <w:sz w:val="20"/>
          <w:szCs w:val="20"/>
        </w:rPr>
        <w:t xml:space="preserve">Согласно </w:t>
      </w:r>
      <w:r w:rsidR="003E49A9">
        <w:rPr>
          <w:rFonts w:ascii="Times New Roman" w:hAnsi="Times New Roman"/>
          <w:color w:val="000000"/>
          <w:sz w:val="20"/>
          <w:szCs w:val="20"/>
        </w:rPr>
        <w:t>сведениям</w:t>
      </w:r>
      <w:r w:rsidR="008F2D7F">
        <w:rPr>
          <w:rFonts w:ascii="Times New Roman" w:hAnsi="Times New Roman"/>
          <w:color w:val="000000"/>
          <w:sz w:val="20"/>
          <w:szCs w:val="20"/>
        </w:rPr>
        <w:t xml:space="preserve"> из реестра муниципальной собственности Минераловодского городского округа</w:t>
      </w:r>
      <w:r w:rsidR="003E49A9">
        <w:rPr>
          <w:rFonts w:ascii="Times New Roman" w:hAnsi="Times New Roman"/>
          <w:color w:val="000000"/>
          <w:sz w:val="20"/>
          <w:szCs w:val="20"/>
        </w:rPr>
        <w:t xml:space="preserve"> ставропольского края земельный участок находится в муниципальной собственности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 xml:space="preserve">Ограничений использования и обременений в отношении земельного </w:t>
      </w:r>
      <w:r w:rsidR="00061D0C" w:rsidRPr="00C0563F">
        <w:rPr>
          <w:rFonts w:ascii="Times New Roman" w:hAnsi="Times New Roman"/>
          <w:color w:val="000000"/>
          <w:sz w:val="20"/>
          <w:szCs w:val="20"/>
        </w:rPr>
        <w:t>участка не зарегистрировано.</w:t>
      </w:r>
    </w:p>
    <w:p w:rsidR="00F40627" w:rsidRPr="007967C8" w:rsidRDefault="003E49A9" w:rsidP="003E49A9">
      <w:pPr>
        <w:rPr>
          <w:rFonts w:ascii="Times New Roman" w:hAnsi="Times New Roman"/>
          <w:color w:val="000000"/>
          <w:sz w:val="20"/>
          <w:szCs w:val="20"/>
        </w:rPr>
      </w:pPr>
      <w:r w:rsidRPr="00265D39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Согласно  Правил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землепользования и застройки  Минераловодского городского округа ставропольского края, утвержденный решением Совета депутатов Минераловодского городского округа от 20.12.2017 г.</w:t>
      </w:r>
      <w:r w:rsidR="004A3B79" w:rsidRPr="004A3B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6ECD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AA6ECD" w:rsidRPr="00AA6ECD">
        <w:rPr>
          <w:rFonts w:ascii="Times New Roman" w:hAnsi="Times New Roman"/>
          <w:color w:val="000000"/>
          <w:sz w:val="20"/>
          <w:szCs w:val="20"/>
        </w:rPr>
        <w:t>Ж-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AA6ECD" w:rsidRPr="00AA6EC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206DFE">
        <w:rPr>
          <w:rFonts w:ascii="Times New Roman" w:hAnsi="Times New Roman"/>
          <w:color w:val="000000"/>
          <w:sz w:val="20"/>
          <w:szCs w:val="20"/>
        </w:rPr>
        <w:t>М</w:t>
      </w:r>
      <w:r w:rsidRPr="00AA4192">
        <w:rPr>
          <w:rFonts w:ascii="Times New Roman" w:hAnsi="Times New Roman"/>
          <w:color w:val="000000"/>
          <w:sz w:val="20"/>
          <w:szCs w:val="20"/>
        </w:rPr>
        <w:t>алоэтажная индивидуальная жилая застройка</w:t>
      </w:r>
      <w:r w:rsidRP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6ECD">
        <w:rPr>
          <w:rFonts w:ascii="Times New Roman" w:hAnsi="Times New Roman"/>
          <w:color w:val="000000"/>
          <w:sz w:val="20"/>
          <w:szCs w:val="20"/>
        </w:rPr>
        <w:t>.</w:t>
      </w:r>
      <w:r w:rsidR="00F406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06DFE">
        <w:rPr>
          <w:rFonts w:ascii="Times New Roman" w:hAnsi="Times New Roman"/>
          <w:color w:val="000000"/>
          <w:sz w:val="20"/>
          <w:szCs w:val="20"/>
        </w:rPr>
        <w:t xml:space="preserve">Для индивидуального жилищного </w:t>
      </w:r>
      <w:proofErr w:type="gramStart"/>
      <w:r w:rsidRPr="00206DFE">
        <w:rPr>
          <w:rFonts w:ascii="Times New Roman" w:hAnsi="Times New Roman"/>
          <w:color w:val="000000"/>
          <w:sz w:val="20"/>
          <w:szCs w:val="20"/>
        </w:rPr>
        <w:t>строительства  от</w:t>
      </w:r>
      <w:proofErr w:type="gramEnd"/>
      <w:r w:rsidRPr="00206DFE">
        <w:rPr>
          <w:rFonts w:ascii="Times New Roman" w:hAnsi="Times New Roman"/>
          <w:color w:val="000000"/>
          <w:sz w:val="20"/>
          <w:szCs w:val="20"/>
        </w:rPr>
        <w:t xml:space="preserve"> 600 кв. м до 3000 кв. м.</w:t>
      </w:r>
      <w:r w:rsid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0627" w:rsidRPr="00206DFE">
        <w:rPr>
          <w:rFonts w:ascii="Times New Roman" w:hAnsi="Times New Roman"/>
          <w:color w:val="000000"/>
          <w:sz w:val="20"/>
          <w:szCs w:val="2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</w:tblGrid>
      <w:tr w:rsidR="00F40627" w:rsidRPr="00206DFE" w:rsidTr="00FF12EE">
        <w:tc>
          <w:tcPr>
            <w:tcW w:w="5211" w:type="dxa"/>
            <w:shd w:val="clear" w:color="auto" w:fill="D9D9D9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жилых домов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других построек (бани, гаражи и др.)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стволов высокорослых деревьев до границ соседнего </w:t>
            </w: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</w:t>
            </w:r>
            <w:proofErr w:type="gramEnd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хозяйственных построек до окон жилого дома, расположенного на соседнем земельном участке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6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построек для скота и птиц на расстоянии от окон жилых помещений соседнего дома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D9D9D9"/>
          </w:tcPr>
          <w:p w:rsidR="00F40627" w:rsidRPr="00206DFE" w:rsidRDefault="00F40627" w:rsidP="00FF12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этажа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pStyle w:val="3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Предельная высота подсобных, вспомогательных зданий от уровня земли:</w:t>
            </w:r>
          </w:p>
        </w:tc>
        <w:tc>
          <w:tcPr>
            <w:tcW w:w="3261" w:type="dxa"/>
            <w:shd w:val="clear" w:color="auto" w:fill="auto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pStyle w:val="33"/>
              <w:rPr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06DFE">
              <w:rPr>
                <w:color w:val="000000"/>
                <w:sz w:val="20"/>
                <w:szCs w:val="20"/>
              </w:rPr>
              <w:t xml:space="preserve"> верха плоской кровли</w:t>
            </w:r>
          </w:p>
        </w:tc>
        <w:tc>
          <w:tcPr>
            <w:tcW w:w="3261" w:type="dxa"/>
            <w:shd w:val="clear" w:color="auto" w:fill="auto"/>
          </w:tcPr>
          <w:p w:rsidR="00F40627" w:rsidRPr="00206DFE" w:rsidRDefault="00F40627" w:rsidP="00FF12EE">
            <w:pPr>
              <w:pStyle w:val="3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3,5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auto"/>
          </w:tcPr>
          <w:p w:rsidR="00F40627" w:rsidRPr="00206DFE" w:rsidRDefault="00F40627" w:rsidP="00FF12EE">
            <w:pPr>
              <w:pStyle w:val="33"/>
              <w:rPr>
                <w:color w:val="000000"/>
                <w:sz w:val="20"/>
                <w:szCs w:val="20"/>
              </w:rPr>
            </w:pPr>
            <w:proofErr w:type="gramStart"/>
            <w:r w:rsidRPr="00206DFE">
              <w:rPr>
                <w:color w:val="000000"/>
                <w:sz w:val="20"/>
                <w:szCs w:val="20"/>
              </w:rPr>
              <w:t>конька</w:t>
            </w:r>
            <w:proofErr w:type="gramEnd"/>
            <w:r w:rsidRPr="00206DFE">
              <w:rPr>
                <w:color w:val="000000"/>
                <w:sz w:val="20"/>
                <w:szCs w:val="20"/>
              </w:rPr>
              <w:t xml:space="preserve"> скатной кровли</w:t>
            </w:r>
          </w:p>
        </w:tc>
        <w:tc>
          <w:tcPr>
            <w:tcW w:w="3261" w:type="dxa"/>
            <w:shd w:val="clear" w:color="auto" w:fill="auto"/>
          </w:tcPr>
          <w:p w:rsidR="00F40627" w:rsidRPr="00206DFE" w:rsidRDefault="00F40627" w:rsidP="00FF12EE">
            <w:pPr>
              <w:pStyle w:val="3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6 м</w:t>
            </w:r>
          </w:p>
        </w:tc>
      </w:tr>
      <w:tr w:rsidR="00F40627" w:rsidRPr="00206DFE" w:rsidTr="00FF12EE">
        <w:tc>
          <w:tcPr>
            <w:tcW w:w="5211" w:type="dxa"/>
            <w:shd w:val="clear" w:color="auto" w:fill="D9D9D9"/>
          </w:tcPr>
          <w:p w:rsidR="00F40627" w:rsidRPr="00206DFE" w:rsidRDefault="00F40627" w:rsidP="00FF12EE">
            <w:pPr>
              <w:pStyle w:val="3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Минимальная ширина вновь отводимых земельных участков вдоль фронта улицы (проезда)</w:t>
            </w:r>
          </w:p>
        </w:tc>
        <w:tc>
          <w:tcPr>
            <w:tcW w:w="3261" w:type="dxa"/>
            <w:shd w:val="clear" w:color="auto" w:fill="D9D9D9"/>
          </w:tcPr>
          <w:p w:rsidR="00F40627" w:rsidRPr="00206DFE" w:rsidRDefault="00F40627" w:rsidP="00FF12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метров</w:t>
            </w:r>
          </w:p>
        </w:tc>
      </w:tr>
    </w:tbl>
    <w:p w:rsidR="00B85DCC" w:rsidRPr="007967C8" w:rsidRDefault="00B85DCC" w:rsidP="003E49A9">
      <w:pPr>
        <w:rPr>
          <w:rFonts w:ascii="Times New Roman" w:hAnsi="Times New Roman"/>
          <w:color w:val="000000"/>
          <w:sz w:val="20"/>
          <w:szCs w:val="20"/>
        </w:rPr>
      </w:pPr>
    </w:p>
    <w:p w:rsidR="00053F09" w:rsidRPr="00206DFE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06DFE"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206DFE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 w:rsidRPr="00206DFE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 w:rsidRPr="00206DFE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206DF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441D9D" w:rsidRPr="007E7763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96F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20596F">
        <w:rPr>
          <w:rFonts w:ascii="Times New Roman" w:hAnsi="Times New Roman"/>
          <w:color w:val="000000"/>
          <w:sz w:val="20"/>
          <w:szCs w:val="20"/>
        </w:rPr>
        <w:t>с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 w:rsidRPr="0020596F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 w:rsidRPr="0020596F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 w:rsidRPr="0020596F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1E7648">
        <w:rPr>
          <w:rFonts w:ascii="Times New Roman" w:hAnsi="Times New Roman"/>
          <w:color w:val="000000"/>
          <w:sz w:val="20"/>
          <w:szCs w:val="20"/>
        </w:rPr>
        <w:t>с</w:t>
      </w:r>
      <w:r w:rsidR="00101368" w:rsidRPr="009B3359">
        <w:rPr>
          <w:rFonts w:ascii="Times New Roman" w:hAnsi="Times New Roman"/>
          <w:color w:val="000000"/>
          <w:sz w:val="20"/>
          <w:szCs w:val="20"/>
        </w:rPr>
        <w:t xml:space="preserve">рок подключения объекта капитального строительства </w:t>
      </w:r>
      <w:r w:rsidR="00071B31">
        <w:rPr>
          <w:rFonts w:ascii="Times New Roman" w:hAnsi="Times New Roman"/>
          <w:color w:val="000000"/>
          <w:sz w:val="20"/>
          <w:szCs w:val="20"/>
        </w:rPr>
        <w:t>определяется договором о подключении с правообладателем земельного участка. Д</w:t>
      </w:r>
      <w:r w:rsidR="00A11108">
        <w:rPr>
          <w:rFonts w:ascii="Times New Roman" w:hAnsi="Times New Roman"/>
          <w:color w:val="000000"/>
          <w:sz w:val="20"/>
          <w:szCs w:val="20"/>
        </w:rPr>
        <w:t>л</w:t>
      </w:r>
      <w:r w:rsidR="00071B31">
        <w:rPr>
          <w:rFonts w:ascii="Times New Roman" w:hAnsi="Times New Roman"/>
          <w:color w:val="000000"/>
          <w:sz w:val="20"/>
          <w:szCs w:val="20"/>
        </w:rPr>
        <w:t>я проектирования и строительства систем водоснабжения объекта правообладателю участка необходимо обратиться в ГУП СК «</w:t>
      </w:r>
      <w:proofErr w:type="spellStart"/>
      <w:r w:rsidR="00071B31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71B31">
        <w:rPr>
          <w:rFonts w:ascii="Times New Roman" w:hAnsi="Times New Roman"/>
          <w:color w:val="000000"/>
          <w:sz w:val="20"/>
          <w:szCs w:val="20"/>
        </w:rPr>
        <w:t>»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 для получения технических условий на подключение проектируемого объекта к сети водоснабжения ГУП СК «</w:t>
      </w:r>
      <w:proofErr w:type="spellStart"/>
      <w:r w:rsidR="00071B31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71B31">
        <w:rPr>
          <w:rFonts w:ascii="Times New Roman" w:hAnsi="Times New Roman"/>
          <w:color w:val="000000"/>
          <w:sz w:val="20"/>
          <w:szCs w:val="20"/>
        </w:rPr>
        <w:t>»</w:t>
      </w:r>
      <w:r w:rsidR="005B538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 xml:space="preserve">Размер платы за подключение </w:t>
      </w:r>
      <w:r w:rsidR="004C3C29" w:rsidRPr="00152133">
        <w:rPr>
          <w:rFonts w:ascii="Times New Roman" w:hAnsi="Times New Roman"/>
          <w:color w:val="000000"/>
          <w:sz w:val="20"/>
          <w:szCs w:val="20"/>
        </w:rPr>
        <w:t>к централ</w:t>
      </w:r>
      <w:r w:rsidR="00DA53DE" w:rsidRPr="00152133">
        <w:rPr>
          <w:rFonts w:ascii="Times New Roman" w:hAnsi="Times New Roman"/>
          <w:color w:val="000000"/>
          <w:sz w:val="20"/>
          <w:szCs w:val="20"/>
        </w:rPr>
        <w:t xml:space="preserve">изованной системе водоснабжения и (или) водоотведения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>указывается в договоре о подключении и рассчитывается ГУП СК «</w:t>
      </w:r>
      <w:proofErr w:type="spellStart"/>
      <w:r w:rsidR="00101368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152133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</w:t>
      </w:r>
      <w:r w:rsidR="00EA07B7" w:rsidRPr="00152133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</w:t>
      </w:r>
      <w:r w:rsidR="00071B31">
        <w:rPr>
          <w:rFonts w:ascii="Times New Roman" w:hAnsi="Times New Roman"/>
          <w:color w:val="000000"/>
          <w:sz w:val="20"/>
          <w:szCs w:val="20"/>
        </w:rPr>
        <w:t xml:space="preserve"> 19.12.16г № 49/1</w:t>
      </w:r>
      <w:r w:rsidR="00EA07B7" w:rsidRPr="00152133">
        <w:rPr>
          <w:rFonts w:ascii="Times New Roman" w:hAnsi="Times New Roman"/>
          <w:color w:val="000000"/>
          <w:sz w:val="20"/>
          <w:szCs w:val="20"/>
        </w:rPr>
        <w:t xml:space="preserve"> с учетом фактической подключаемой нагрузки абонента и протяженности создаваемой сети от точки подключения</w:t>
      </w:r>
      <w:r w:rsidR="00DA51CC" w:rsidRPr="00152133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 w:rsidRPr="00152133">
        <w:rPr>
          <w:rFonts w:ascii="Times New Roman" w:hAnsi="Times New Roman"/>
          <w:color w:val="000000"/>
          <w:sz w:val="20"/>
          <w:szCs w:val="20"/>
        </w:rPr>
        <w:t>» до земельного участка абонента</w:t>
      </w:r>
      <w:r w:rsidR="00DA51CC" w:rsidRPr="007E7763">
        <w:rPr>
          <w:rFonts w:ascii="Times New Roman" w:hAnsi="Times New Roman"/>
          <w:color w:val="000000"/>
          <w:sz w:val="20"/>
          <w:szCs w:val="20"/>
        </w:rPr>
        <w:t>.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</w:t>
      </w:r>
      <w:r w:rsidR="00152133" w:rsidRPr="007E7763">
        <w:rPr>
          <w:rFonts w:ascii="Times New Roman" w:hAnsi="Times New Roman"/>
          <w:color w:val="000000"/>
          <w:sz w:val="20"/>
          <w:szCs w:val="20"/>
        </w:rPr>
        <w:t xml:space="preserve">объемов 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>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6E0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946E05">
        <w:rPr>
          <w:rFonts w:ascii="Times New Roman" w:hAnsi="Times New Roman"/>
          <w:color w:val="000000"/>
          <w:sz w:val="20"/>
          <w:szCs w:val="20"/>
        </w:rPr>
        <w:t>с</w:t>
      </w:r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 w:rsidRPr="00946E05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</w:t>
      </w:r>
      <w:r w:rsidR="0059789B" w:rsidRPr="00857464">
        <w:rPr>
          <w:rFonts w:ascii="Times New Roman" w:hAnsi="Times New Roman"/>
          <w:color w:val="000000"/>
          <w:sz w:val="20"/>
          <w:szCs w:val="20"/>
        </w:rPr>
        <w:t xml:space="preserve">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</w:t>
      </w:r>
      <w:r w:rsidR="0059789B" w:rsidRPr="00C033ED">
        <w:rPr>
          <w:rFonts w:ascii="Times New Roman" w:hAnsi="Times New Roman"/>
          <w:color w:val="000000"/>
          <w:sz w:val="20"/>
          <w:szCs w:val="20"/>
        </w:rPr>
        <w:t>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  <w:r w:rsidR="00C033ED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к сетям газораспределения после готовности объекта.</w:t>
      </w:r>
    </w:p>
    <w:p w:rsidR="006D0757" w:rsidRPr="00C00D0E" w:rsidRDefault="006D0757" w:rsidP="006D0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bidi="ru-RU"/>
        </w:rPr>
      </w:pPr>
      <w:r>
        <w:rPr>
          <w:rFonts w:ascii="Times New Roman" w:hAnsi="Times New Roman"/>
          <w:b/>
          <w:color w:val="000000"/>
          <w:kern w:val="3"/>
          <w:sz w:val="20"/>
          <w:szCs w:val="20"/>
        </w:rPr>
        <w:t xml:space="preserve">-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Крайтеплоэнерго</w:t>
      </w:r>
      <w:proofErr w:type="spellEnd"/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» </w:t>
      </w:r>
      <w:r w:rsidR="006000BB" w:rsidRPr="004033D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централизованному источнику теплоснабжения отсутствует</w:t>
      </w:r>
      <w:r w:rsidR="0090535F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.</w:t>
      </w: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lastRenderedPageBreak/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</w:t>
      </w:r>
      <w:r w:rsidR="00344D80" w:rsidRPr="00344D80">
        <w:rPr>
          <w:color w:val="000000"/>
          <w:sz w:val="20"/>
          <w:szCs w:val="20"/>
        </w:rPr>
        <w:lastRenderedPageBreak/>
        <w:t>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344D80">
        <w:rPr>
          <w:color w:val="000000"/>
          <w:sz w:val="20"/>
          <w:szCs w:val="20"/>
        </w:rPr>
        <w:t>;</w:t>
      </w:r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62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1D90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1B31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9B6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458"/>
    <w:rsid w:val="000F4E96"/>
    <w:rsid w:val="000F56A5"/>
    <w:rsid w:val="000F57F0"/>
    <w:rsid w:val="000F5ADF"/>
    <w:rsid w:val="000F5D78"/>
    <w:rsid w:val="000F69EB"/>
    <w:rsid w:val="000F6A4F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57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9DC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AE7"/>
    <w:rsid w:val="00151FB5"/>
    <w:rsid w:val="001520A9"/>
    <w:rsid w:val="00152133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C9F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7DA"/>
    <w:rsid w:val="001B7EAD"/>
    <w:rsid w:val="001C1618"/>
    <w:rsid w:val="001C1EEB"/>
    <w:rsid w:val="001C236C"/>
    <w:rsid w:val="001C2EB3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E7648"/>
    <w:rsid w:val="001F0407"/>
    <w:rsid w:val="001F04FB"/>
    <w:rsid w:val="001F09CA"/>
    <w:rsid w:val="001F182E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96F"/>
    <w:rsid w:val="00205B63"/>
    <w:rsid w:val="002064D3"/>
    <w:rsid w:val="00206D10"/>
    <w:rsid w:val="00206DFE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07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879"/>
    <w:rsid w:val="002C6A80"/>
    <w:rsid w:val="002C7777"/>
    <w:rsid w:val="002C7CD5"/>
    <w:rsid w:val="002C7E3E"/>
    <w:rsid w:val="002D11B1"/>
    <w:rsid w:val="002D1270"/>
    <w:rsid w:val="002D146C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078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2F7FBA"/>
    <w:rsid w:val="00300108"/>
    <w:rsid w:val="003004D8"/>
    <w:rsid w:val="0030144F"/>
    <w:rsid w:val="00301781"/>
    <w:rsid w:val="00301BF6"/>
    <w:rsid w:val="0030234C"/>
    <w:rsid w:val="003023C3"/>
    <w:rsid w:val="00302852"/>
    <w:rsid w:val="003028B7"/>
    <w:rsid w:val="00302B7B"/>
    <w:rsid w:val="003031AD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2D6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30B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7D"/>
    <w:rsid w:val="003E292B"/>
    <w:rsid w:val="003E30F3"/>
    <w:rsid w:val="003E3C1E"/>
    <w:rsid w:val="003E49A9"/>
    <w:rsid w:val="003E5215"/>
    <w:rsid w:val="003E5333"/>
    <w:rsid w:val="003E5566"/>
    <w:rsid w:val="003E56A2"/>
    <w:rsid w:val="003E6922"/>
    <w:rsid w:val="003E6B0A"/>
    <w:rsid w:val="003E6BFB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70F"/>
    <w:rsid w:val="00433851"/>
    <w:rsid w:val="00433B10"/>
    <w:rsid w:val="00434186"/>
    <w:rsid w:val="004341A3"/>
    <w:rsid w:val="004349DC"/>
    <w:rsid w:val="00434A8D"/>
    <w:rsid w:val="00435055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BC8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5575"/>
    <w:rsid w:val="00496F48"/>
    <w:rsid w:val="004975D5"/>
    <w:rsid w:val="00497C09"/>
    <w:rsid w:val="004A0590"/>
    <w:rsid w:val="004A088E"/>
    <w:rsid w:val="004A0B81"/>
    <w:rsid w:val="004A0B86"/>
    <w:rsid w:val="004A201D"/>
    <w:rsid w:val="004A24BC"/>
    <w:rsid w:val="004A2951"/>
    <w:rsid w:val="004A2C05"/>
    <w:rsid w:val="004A3B79"/>
    <w:rsid w:val="004A4D8D"/>
    <w:rsid w:val="004A6882"/>
    <w:rsid w:val="004A6DEB"/>
    <w:rsid w:val="004A7CCE"/>
    <w:rsid w:val="004A7FB1"/>
    <w:rsid w:val="004B0E70"/>
    <w:rsid w:val="004B1166"/>
    <w:rsid w:val="004B1847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0BFD"/>
    <w:rsid w:val="004C1CFB"/>
    <w:rsid w:val="004C20BA"/>
    <w:rsid w:val="004C24E5"/>
    <w:rsid w:val="004C2561"/>
    <w:rsid w:val="004C281F"/>
    <w:rsid w:val="004C3A78"/>
    <w:rsid w:val="004C3C29"/>
    <w:rsid w:val="004C45F6"/>
    <w:rsid w:val="004C49DF"/>
    <w:rsid w:val="004C509C"/>
    <w:rsid w:val="004C5184"/>
    <w:rsid w:val="004C7396"/>
    <w:rsid w:val="004C7E14"/>
    <w:rsid w:val="004D086F"/>
    <w:rsid w:val="004D0BEA"/>
    <w:rsid w:val="004D0D86"/>
    <w:rsid w:val="004D1ADF"/>
    <w:rsid w:val="004D1B2A"/>
    <w:rsid w:val="004D21AC"/>
    <w:rsid w:val="004D2245"/>
    <w:rsid w:val="004D22A2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948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63C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29B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38E"/>
    <w:rsid w:val="005B5776"/>
    <w:rsid w:val="005B58E8"/>
    <w:rsid w:val="005B5F8F"/>
    <w:rsid w:val="005B6313"/>
    <w:rsid w:val="005B6767"/>
    <w:rsid w:val="005B683C"/>
    <w:rsid w:val="005B71E7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019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0BB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A1A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242"/>
    <w:rsid w:val="00622658"/>
    <w:rsid w:val="0062293A"/>
    <w:rsid w:val="00623644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33C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6FBB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D96"/>
    <w:rsid w:val="00694191"/>
    <w:rsid w:val="006947AF"/>
    <w:rsid w:val="0069602C"/>
    <w:rsid w:val="00696067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321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757"/>
    <w:rsid w:val="006D0F5F"/>
    <w:rsid w:val="006D1E7D"/>
    <w:rsid w:val="006D2109"/>
    <w:rsid w:val="006D23DF"/>
    <w:rsid w:val="006D3F3C"/>
    <w:rsid w:val="006D4D86"/>
    <w:rsid w:val="006D4E14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7EB"/>
    <w:rsid w:val="007239FD"/>
    <w:rsid w:val="00723B2E"/>
    <w:rsid w:val="00723CF5"/>
    <w:rsid w:val="00723E6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47DDB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7C8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0EDF"/>
    <w:rsid w:val="007D1245"/>
    <w:rsid w:val="007D1B14"/>
    <w:rsid w:val="007D27EE"/>
    <w:rsid w:val="007D28DA"/>
    <w:rsid w:val="007D2AC0"/>
    <w:rsid w:val="007D2E4E"/>
    <w:rsid w:val="007D3806"/>
    <w:rsid w:val="007D3E0A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E7763"/>
    <w:rsid w:val="007F00B4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4961"/>
    <w:rsid w:val="007F5289"/>
    <w:rsid w:val="007F5ACC"/>
    <w:rsid w:val="007F5C77"/>
    <w:rsid w:val="007F60BD"/>
    <w:rsid w:val="007F61B5"/>
    <w:rsid w:val="007F62E7"/>
    <w:rsid w:val="007F7848"/>
    <w:rsid w:val="008002B9"/>
    <w:rsid w:val="0080090B"/>
    <w:rsid w:val="008009C0"/>
    <w:rsid w:val="00800F16"/>
    <w:rsid w:val="00800F44"/>
    <w:rsid w:val="00801CA2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1787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464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5E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2D7F"/>
    <w:rsid w:val="008F30E6"/>
    <w:rsid w:val="008F3442"/>
    <w:rsid w:val="008F3665"/>
    <w:rsid w:val="008F3FAB"/>
    <w:rsid w:val="008F499F"/>
    <w:rsid w:val="008F4A9F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35F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37309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6E05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2DB8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9AE"/>
    <w:rsid w:val="00997BCE"/>
    <w:rsid w:val="00997C8D"/>
    <w:rsid w:val="00997D8B"/>
    <w:rsid w:val="00997FFD"/>
    <w:rsid w:val="009A063E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C6A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359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108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2A8B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6C9A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188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AC7"/>
    <w:rsid w:val="00AA3CA8"/>
    <w:rsid w:val="00AA4192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6E9C"/>
    <w:rsid w:val="00AA6ECD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915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867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5F8"/>
    <w:rsid w:val="00B15924"/>
    <w:rsid w:val="00B15A33"/>
    <w:rsid w:val="00B165B5"/>
    <w:rsid w:val="00B17FB5"/>
    <w:rsid w:val="00B2074C"/>
    <w:rsid w:val="00B209E4"/>
    <w:rsid w:val="00B20E40"/>
    <w:rsid w:val="00B211C3"/>
    <w:rsid w:val="00B215AA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1E9C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7EF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5DCC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19D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D0E"/>
    <w:rsid w:val="00C00FE6"/>
    <w:rsid w:val="00C01176"/>
    <w:rsid w:val="00C011F2"/>
    <w:rsid w:val="00C01832"/>
    <w:rsid w:val="00C01928"/>
    <w:rsid w:val="00C019EA"/>
    <w:rsid w:val="00C01C09"/>
    <w:rsid w:val="00C0252D"/>
    <w:rsid w:val="00C02547"/>
    <w:rsid w:val="00C026D7"/>
    <w:rsid w:val="00C0335E"/>
    <w:rsid w:val="00C033ED"/>
    <w:rsid w:val="00C0371F"/>
    <w:rsid w:val="00C042B4"/>
    <w:rsid w:val="00C0450A"/>
    <w:rsid w:val="00C0563F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0FA5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B6D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DCB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5D35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CC4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3DE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171F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BD8"/>
    <w:rsid w:val="00E77CA2"/>
    <w:rsid w:val="00E801C7"/>
    <w:rsid w:val="00E80DC2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0D8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6A33"/>
    <w:rsid w:val="00F17AC4"/>
    <w:rsid w:val="00F204DA"/>
    <w:rsid w:val="00F208BB"/>
    <w:rsid w:val="00F208D5"/>
    <w:rsid w:val="00F20A57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4A4"/>
    <w:rsid w:val="00F30ADE"/>
    <w:rsid w:val="00F3131B"/>
    <w:rsid w:val="00F318CC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27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47D89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3D3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3B9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3E4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EC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31">
    <w:name w:val="Заголовок3"/>
    <w:basedOn w:val="3"/>
    <w:link w:val="32"/>
    <w:qFormat/>
    <w:rsid w:val="003E49A9"/>
    <w:pPr>
      <w:keepLines w:val="0"/>
      <w:widowControl w:val="0"/>
      <w:suppressAutoHyphens/>
      <w:spacing w:before="360" w:after="24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2">
    <w:name w:val="Заголовок3 Знак"/>
    <w:link w:val="31"/>
    <w:rsid w:val="003E49A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9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3">
    <w:name w:val="Обычный3"/>
    <w:basedOn w:val="a"/>
    <w:link w:val="34"/>
    <w:qFormat/>
    <w:rsid w:val="003E49A9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34">
    <w:name w:val="Обычный3 Знак"/>
    <w:basedOn w:val="a0"/>
    <w:link w:val="33"/>
    <w:rsid w:val="003E49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365</cp:revision>
  <cp:lastPrinted>2017-05-16T06:40:00Z</cp:lastPrinted>
  <dcterms:created xsi:type="dcterms:W3CDTF">2015-08-27T11:54:00Z</dcterms:created>
  <dcterms:modified xsi:type="dcterms:W3CDTF">2018-02-22T09:58:00Z</dcterms:modified>
</cp:coreProperties>
</file>