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13" w:rsidRDefault="00BC48F2" w:rsidP="00A1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(паспорт) </w:t>
      </w:r>
      <w:r w:rsidR="00FA2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A17091" w:rsidRPr="00E40A0C" w:rsidRDefault="00BC48F2" w:rsidP="00A1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муниципальными финансами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атангский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2019-2024 годы»</w:t>
      </w:r>
    </w:p>
    <w:p w:rsidR="00A17091" w:rsidRPr="00A17091" w:rsidRDefault="00A17091" w:rsidP="00A17091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6854"/>
      </w:tblGrid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78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муниципальными финансами </w:t>
            </w:r>
            <w:r w:rsidR="00E40A0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«Катангский район»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E40A0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40A0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3478" w:type="pct"/>
          </w:tcPr>
          <w:p w:rsidR="00A17091" w:rsidRPr="00E40A0C" w:rsidRDefault="00E40A0C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D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уровня бюджетной обеспеченности поселений Катангского района.</w:t>
            </w:r>
          </w:p>
          <w:p w:rsidR="00E40A0C" w:rsidRPr="00E40A0C" w:rsidRDefault="00E40A0C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D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Формирование, исполнение и </w:t>
            </w:r>
            <w:proofErr w:type="gramStart"/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бюджета и сметы, ведение бухгалтерского учета.</w:t>
            </w:r>
          </w:p>
        </w:tc>
      </w:tr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478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</w:t>
            </w:r>
          </w:p>
        </w:tc>
      </w:tr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3478" w:type="pct"/>
          </w:tcPr>
          <w:p w:rsidR="00A17091" w:rsidRPr="00E40A0C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478" w:type="pct"/>
          </w:tcPr>
          <w:p w:rsidR="00A17091" w:rsidRPr="00E40A0C" w:rsidRDefault="008D6594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3478" w:type="pct"/>
          </w:tcPr>
          <w:p w:rsidR="00A17091" w:rsidRPr="00E40A0C" w:rsidRDefault="00A17091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повышения эффективности бюджетных расходов и качества управления муниципальными финансами в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 w:rsidR="00BC48F2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район»;</w:t>
            </w:r>
          </w:p>
          <w:p w:rsidR="00A17091" w:rsidRPr="00E40A0C" w:rsidRDefault="00A17091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планирования и исполнения бюджета МО «Катангский район», кассового обслуживания исполнения бюджета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C48F2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район», ведение бюджетного учета и формирование бюджетной отчетности;</w:t>
            </w:r>
          </w:p>
          <w:p w:rsidR="00A17091" w:rsidRPr="00E40A0C" w:rsidRDefault="00A17091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1A5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распределения межбюджетных трансфертов из бюджета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C48F2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A5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 бюджетам сельских поселения, входящих в состав Катангского района</w:t>
            </w:r>
          </w:p>
        </w:tc>
      </w:tr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3478" w:type="pct"/>
          </w:tcPr>
          <w:p w:rsidR="00A17091" w:rsidRPr="00E40A0C" w:rsidRDefault="00051A5C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и неналоговых доходов бюджета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C48F2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район»;</w:t>
            </w:r>
          </w:p>
          <w:p w:rsidR="00051A5C" w:rsidRPr="00E40A0C" w:rsidRDefault="00051A5C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дефицита бюджета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C48F2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«Катангский район» к доходам бюджета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C48F2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район»;</w:t>
            </w:r>
          </w:p>
          <w:p w:rsidR="00051A5C" w:rsidRPr="00E40A0C" w:rsidRDefault="00051A5C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просроченной кредиторской задолженности в расходах бюджета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C48F2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район»;</w:t>
            </w:r>
          </w:p>
          <w:p w:rsidR="00051A5C" w:rsidRPr="00E40A0C" w:rsidRDefault="00051A5C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расходов бюджета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BC48F2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«Катангский район», формируемых в рамках программ, в общем объеме расходов бюджета 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  <w:r w:rsidR="00BC48F2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«Катангский район» </w:t>
            </w:r>
            <w:r w:rsidR="000E06B6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расходов, осуществляемых за счет субвенций  из областного бюджета)</w:t>
            </w:r>
          </w:p>
          <w:p w:rsidR="008D6594" w:rsidRPr="00E40A0C" w:rsidRDefault="008D6594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 дефицита местного бюджета.</w:t>
            </w:r>
          </w:p>
          <w:p w:rsidR="008D6594" w:rsidRPr="00E40A0C" w:rsidRDefault="008D6594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 просроченной задолженности по погашению долговых обязательств</w:t>
            </w:r>
          </w:p>
        </w:tc>
      </w:tr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3478" w:type="pct"/>
          </w:tcPr>
          <w:p w:rsidR="000E06B6" w:rsidRPr="00E40A0C" w:rsidRDefault="000E06B6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3478" w:type="pct"/>
          </w:tcPr>
          <w:p w:rsidR="00A70918" w:rsidRPr="00E40A0C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за счет всех источников финансирования составляет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221 757,543</w:t>
            </w:r>
            <w:r w:rsidR="00A7091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091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7091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70918" w:rsidRPr="00E40A0C" w:rsidRDefault="00A7091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35 208,078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0918" w:rsidRPr="00E40A0C" w:rsidRDefault="00A7091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36 388,953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A70918" w:rsidRPr="00E40A0C" w:rsidRDefault="00A7091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37 540,128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A70918" w:rsidRDefault="00A7091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37 540,128</w:t>
            </w:r>
            <w:r w:rsidR="0013019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A70918" w:rsidRDefault="00A7091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37 540,128</w:t>
            </w:r>
            <w:r w:rsidR="0013019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A70918" w:rsidRDefault="00A7091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37 540,128</w:t>
            </w:r>
            <w:r w:rsidR="0013019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198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130198" w:rsidRPr="00BC48F2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 счет собственных средств бюджета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26388B" w:rsidRPr="00E40A0C" w:rsidRDefault="0026388B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 w:rsidR="0013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253,325</w:t>
            </w:r>
            <w:r w:rsidR="00AA736B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36B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6388B" w:rsidRPr="00E40A0C" w:rsidRDefault="0026388B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6388B" w:rsidRPr="00E40A0C" w:rsidRDefault="0026388B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32 457,375</w:t>
            </w:r>
            <w:r w:rsidR="00AA736B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36B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388B" w:rsidRPr="00E40A0C" w:rsidRDefault="0026388B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33 638,25</w:t>
            </w:r>
            <w:r w:rsidR="00AA736B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36B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6388B" w:rsidRPr="00E40A0C" w:rsidRDefault="005F2EF9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88B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34 789,425</w:t>
            </w:r>
            <w:r w:rsidR="00AA736B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36B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F2EF9" w:rsidRDefault="0026388B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34 789,425</w:t>
            </w:r>
            <w:r w:rsidR="005F2EF9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F2EF9" w:rsidRDefault="0026388B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34 789,425</w:t>
            </w:r>
            <w:r w:rsidR="005F2EF9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0E06B6" w:rsidRDefault="0026388B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34 789,425</w:t>
            </w:r>
            <w:r w:rsidR="005F2EF9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EF9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30198" w:rsidRPr="00BC48F2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счет субвенции из бюджета поселений</w:t>
            </w:r>
          </w:p>
          <w:p w:rsidR="00130198" w:rsidRPr="00E40A0C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16 504,218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30198" w:rsidRPr="00E40A0C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30198" w:rsidRPr="00E40A0C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198" w:rsidRPr="00E40A0C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30198" w:rsidRPr="00E40A0C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30198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30198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30198" w:rsidRPr="00E40A0C" w:rsidRDefault="0013019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A17091" w:rsidRPr="00E40A0C" w:rsidTr="00A710D0">
        <w:tc>
          <w:tcPr>
            <w:tcW w:w="1522" w:type="pct"/>
          </w:tcPr>
          <w:p w:rsidR="00A17091" w:rsidRPr="00E40A0C" w:rsidRDefault="00A17091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478" w:type="pct"/>
          </w:tcPr>
          <w:p w:rsidR="00521CA3" w:rsidRPr="00E40A0C" w:rsidRDefault="00521CA3" w:rsidP="00BC48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8D6594" w:rsidRPr="00E40A0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 w:rsidR="00AB3488" w:rsidRPr="00E40A0C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Бюджетного кодекса РФ;</w:t>
            </w:r>
          </w:p>
          <w:p w:rsidR="00521CA3" w:rsidRPr="00E40A0C" w:rsidRDefault="00521CA3" w:rsidP="00BC48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налоговых и неналоговых доходов консолидированного бюджета </w:t>
            </w:r>
            <w:r w:rsidR="00BC48F2" w:rsidRPr="00BC48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B3488" w:rsidRPr="00E40A0C">
              <w:rPr>
                <w:rFonts w:ascii="Times New Roman" w:hAnsi="Times New Roman" w:cs="Times New Roman"/>
                <w:sz w:val="28"/>
                <w:szCs w:val="28"/>
              </w:rPr>
              <w:t>«Катангский район» 101,7%;</w:t>
            </w:r>
          </w:p>
          <w:p w:rsidR="00521CA3" w:rsidRPr="00E40A0C" w:rsidRDefault="00521CA3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бюджета</w:t>
            </w:r>
            <w:r w:rsidR="00AB3488" w:rsidRPr="00E40A0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 xml:space="preserve"> 0 рублей</w:t>
            </w:r>
            <w:r w:rsidR="00AB3488" w:rsidRPr="00E40A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7464" w:rsidRPr="00E40A0C" w:rsidRDefault="005F2854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Доля расходов бюджета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«Катангский район», формируемых в рамках программ, в </w:t>
            </w:r>
            <w:r w:rsidR="00180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80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80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</w:t>
            </w:r>
            <w:r w:rsidR="00180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F2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 расходов бюджета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  <w:r w:rsidR="00AB348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1CA3" w:rsidRPr="00E40A0C" w:rsidRDefault="00521CA3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дефицита бюджета</w:t>
            </w:r>
            <w:r w:rsidR="00AB348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</w:t>
            </w:r>
            <w:r w:rsidR="00AB348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10%;</w:t>
            </w:r>
          </w:p>
          <w:p w:rsidR="00521CA3" w:rsidRPr="00E40A0C" w:rsidRDefault="00521CA3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просроченной задолженности по погашению долговых обязательств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 0 тыс. рублей</w:t>
            </w:r>
            <w:r w:rsidR="00AB3488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1CA3" w:rsidRPr="00E40A0C" w:rsidRDefault="00AB348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21CA3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 межбюджетных трансфертов из бюджета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521CA3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«Катангский район» в объеме собственных доходов бюджета МО «Катангский район» составит не </w:t>
            </w:r>
            <w:r w:rsidR="0026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</w:t>
            </w:r>
            <w:r w:rsidR="00521CA3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 процентов;</w:t>
            </w:r>
          </w:p>
          <w:p w:rsidR="00521CA3" w:rsidRPr="00E40A0C" w:rsidRDefault="00AB348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21CA3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просроченной кредиторской задолженности не превысит 1 процента в расходах бюджетов сельских поселений;</w:t>
            </w:r>
          </w:p>
          <w:p w:rsidR="00521CA3" w:rsidRPr="00E40A0C" w:rsidRDefault="00AB348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1CA3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облюдение всеми сельскими поселениями  ограничений по объему дефицита бюджета сельских поселений, рассчитанное в соответствии с требованиями Бюджетного кодекса РФ</w:t>
            </w:r>
          </w:p>
        </w:tc>
      </w:tr>
    </w:tbl>
    <w:p w:rsidR="00BC48F2" w:rsidRDefault="00BC48F2" w:rsidP="0026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8F2" w:rsidRDefault="00BC48F2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BC48F2" w:rsidRDefault="00BC48F2" w:rsidP="0026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48F2">
        <w:rPr>
          <w:rFonts w:ascii="Times New Roman" w:hAnsi="Times New Roman"/>
          <w:b/>
          <w:sz w:val="28"/>
          <w:szCs w:val="28"/>
          <w:lang w:eastAsia="ru-RU"/>
        </w:rPr>
        <w:lastRenderedPageBreak/>
        <w:t>Краткая характеристика (паспорт)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0918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266138">
        <w:rPr>
          <w:rFonts w:ascii="Times New Roman" w:hAnsi="Times New Roman"/>
          <w:b/>
          <w:sz w:val="28"/>
          <w:szCs w:val="28"/>
          <w:lang w:eastAsia="ru-RU"/>
        </w:rPr>
        <w:t>одпрограмм</w:t>
      </w:r>
      <w:r w:rsidR="00A70918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2661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66138" w:rsidRPr="00F80DFE" w:rsidRDefault="00266138" w:rsidP="0026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«Выравнивание уровня бюджетной обеспеченности поселений Катангского района»</w:t>
      </w:r>
    </w:p>
    <w:p w:rsidR="00266138" w:rsidRPr="00F80DFE" w:rsidRDefault="00266138" w:rsidP="0026613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6851"/>
      </w:tblGrid>
      <w:tr w:rsidR="00266138" w:rsidRPr="00F80DFE" w:rsidTr="00A710D0">
        <w:tc>
          <w:tcPr>
            <w:tcW w:w="1524" w:type="pct"/>
          </w:tcPr>
          <w:p w:rsidR="00266138" w:rsidRPr="00F80DFE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476" w:type="pct"/>
          </w:tcPr>
          <w:p w:rsidR="00266138" w:rsidRPr="008564CC" w:rsidRDefault="00266138" w:rsidP="00B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4CC">
              <w:rPr>
                <w:rFonts w:ascii="Times New Roman" w:hAnsi="Times New Roman"/>
                <w:sz w:val="28"/>
                <w:szCs w:val="28"/>
                <w:lang w:eastAsia="ru-RU"/>
              </w:rPr>
              <w:t>Выравнивание уровня бюджетной обеспеченности поселений Катангского района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476" w:type="pct"/>
          </w:tcPr>
          <w:p w:rsidR="00266138" w:rsidRPr="008564CC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85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3476" w:type="pct"/>
          </w:tcPr>
          <w:p w:rsidR="00266138" w:rsidRPr="008564CC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476" w:type="pct"/>
          </w:tcPr>
          <w:p w:rsidR="00266138" w:rsidRPr="008564CC" w:rsidRDefault="00266138" w:rsidP="00B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4CC">
              <w:rPr>
                <w:rFonts w:ascii="Times New Roman" w:hAnsi="Times New Roman"/>
                <w:sz w:val="28"/>
                <w:szCs w:val="28"/>
                <w:lang w:eastAsia="ru-RU"/>
              </w:rPr>
              <w:t>Выравнивание уровня бюджетной обеспеченности поселений Катангского района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3476" w:type="pct"/>
          </w:tcPr>
          <w:p w:rsidR="00266138" w:rsidRPr="008564CC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овершенствование системы распределения межбюджетных трансфертов из бюджета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 бюджетам сельских поселения, входящих в состав Катангского района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3476" w:type="pct"/>
          </w:tcPr>
          <w:p w:rsidR="00266138" w:rsidRPr="008564CC" w:rsidRDefault="00266138" w:rsidP="00B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межбюджетных трансфертов из бюджета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«Катангский район» в объеме собственных доходов бюджета </w:t>
            </w:r>
            <w:r w:rsidR="00BC48F2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«Катангский район» составит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 процентов;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A710D0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</w:t>
            </w:r>
            <w:r w:rsidR="00266138"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476" w:type="pct"/>
          </w:tcPr>
          <w:p w:rsidR="00266138" w:rsidRPr="00E40A0C" w:rsidRDefault="00266138" w:rsidP="00BC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266138" w:rsidRPr="008564CC" w:rsidRDefault="00266138" w:rsidP="00BC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3476" w:type="pct"/>
          </w:tcPr>
          <w:p w:rsidR="00BC48F2" w:rsidRPr="00BC48F2" w:rsidRDefault="00BC48F2" w:rsidP="00BC48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120 205,725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266138" w:rsidRPr="00E40A0C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19 023,375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6138" w:rsidRPr="00E40A0C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19 687,050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66138" w:rsidRPr="00E40A0C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BC48F2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20 373,825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66138" w:rsidRPr="00E40A0C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20 373,825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66138" w:rsidRPr="00E40A0C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20 373,825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66138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C48F2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20 373,825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C48F2" w:rsidRPr="00BC48F2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BC48F2" w:rsidRPr="00BC48F2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120 205,725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BC48F2" w:rsidRPr="00E40A0C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19 023,375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8F2" w:rsidRPr="00E40A0C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19 687,050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C48F2" w:rsidRPr="00E40A0C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20 373,825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C48F2" w:rsidRPr="00E40A0C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20 373,825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C48F2" w:rsidRPr="00E40A0C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20 373,825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C48F2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20 373,825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C48F2" w:rsidRPr="00BC48F2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BC48F2" w:rsidRPr="00E40A0C" w:rsidRDefault="00BC48F2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за счет бюджета Иркутской области </w:t>
            </w:r>
            <w:r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предусмотрено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476" w:type="pct"/>
          </w:tcPr>
          <w:p w:rsidR="00266138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просроченной кредиторской задолженности не превысит 1 процента в расходах бюджетов сельских поселений;</w:t>
            </w:r>
          </w:p>
          <w:p w:rsidR="00266138" w:rsidRPr="008564CC" w:rsidRDefault="00266138" w:rsidP="00BC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всеми сельскими поселениями  ограничений по объему дефицита бюджета сельских поселений, рассчитанное в соответствии с требованиями Бюджетного кодекса РФ</w:t>
            </w:r>
          </w:p>
        </w:tc>
      </w:tr>
    </w:tbl>
    <w:p w:rsidR="00BA2B55" w:rsidRDefault="00BA2B55" w:rsidP="00BC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4A1" w:rsidRDefault="003054A1" w:rsidP="00BC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деятельности</w:t>
      </w:r>
    </w:p>
    <w:p w:rsidR="00BC48F2" w:rsidRPr="00E40A0C" w:rsidRDefault="00BC48F2" w:rsidP="00BC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55" w:rsidRPr="00E40A0C" w:rsidRDefault="00BA2B55" w:rsidP="00BC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 w:rsidR="00BC48F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40A0C">
        <w:rPr>
          <w:rFonts w:ascii="Times New Roman" w:hAnsi="Times New Roman" w:cs="Times New Roman"/>
          <w:sz w:val="28"/>
          <w:szCs w:val="28"/>
        </w:rPr>
        <w:t>2003 г</w:t>
      </w:r>
      <w:r w:rsidR="00BC48F2">
        <w:rPr>
          <w:rFonts w:ascii="Times New Roman" w:hAnsi="Times New Roman" w:cs="Times New Roman"/>
          <w:sz w:val="28"/>
          <w:szCs w:val="28"/>
        </w:rPr>
        <w:t>ода</w:t>
      </w:r>
      <w:r w:rsidRPr="00E40A0C">
        <w:rPr>
          <w:rFonts w:ascii="Times New Roman" w:hAnsi="Times New Roman" w:cs="Times New Roman"/>
          <w:sz w:val="28"/>
          <w:szCs w:val="28"/>
        </w:rPr>
        <w:t xml:space="preserve"> </w:t>
      </w:r>
      <w:r w:rsidR="00BC48F2" w:rsidRPr="00BC48F2">
        <w:rPr>
          <w:rFonts w:ascii="Times New Roman" w:hAnsi="Times New Roman" w:cs="Times New Roman"/>
          <w:sz w:val="28"/>
          <w:szCs w:val="28"/>
        </w:rPr>
        <w:br/>
      </w:r>
      <w:r w:rsidRPr="00E40A0C">
        <w:rPr>
          <w:rFonts w:ascii="Times New Roman" w:hAnsi="Times New Roman" w:cs="Times New Roman"/>
          <w:sz w:val="28"/>
          <w:szCs w:val="28"/>
        </w:rPr>
        <w:t>№</w:t>
      </w:r>
      <w:r w:rsidR="00BC48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A0C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10D0">
        <w:rPr>
          <w:rFonts w:ascii="Times New Roman" w:hAnsi="Times New Roman" w:cs="Times New Roman"/>
          <w:sz w:val="28"/>
          <w:szCs w:val="28"/>
        </w:rPr>
        <w:t>«</w:t>
      </w:r>
      <w:r w:rsidRPr="00E40A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10D0">
        <w:rPr>
          <w:rFonts w:ascii="Times New Roman" w:hAnsi="Times New Roman" w:cs="Times New Roman"/>
          <w:sz w:val="28"/>
          <w:szCs w:val="28"/>
        </w:rPr>
        <w:t>»</w:t>
      </w:r>
      <w:r w:rsidRPr="00E40A0C">
        <w:rPr>
          <w:rFonts w:ascii="Times New Roman" w:hAnsi="Times New Roman" w:cs="Times New Roman"/>
          <w:sz w:val="28"/>
          <w:szCs w:val="28"/>
        </w:rPr>
        <w:t xml:space="preserve"> к полномочиям муниципальных районов относится выравнивание уровня бюджетной обеспеченности поселений входящих в состав муниципального района.</w:t>
      </w:r>
    </w:p>
    <w:p w:rsidR="00BA2B55" w:rsidRPr="00E40A0C" w:rsidRDefault="00BA2B55" w:rsidP="00BC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На территории Катангского района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0A0C">
        <w:rPr>
          <w:rFonts w:ascii="Times New Roman" w:hAnsi="Times New Roman" w:cs="Times New Roman"/>
          <w:sz w:val="28"/>
          <w:szCs w:val="28"/>
        </w:rPr>
        <w:t xml:space="preserve"> года находятся 4 поселений, из них 4 сельских.</w:t>
      </w:r>
    </w:p>
    <w:p w:rsidR="00A710D0" w:rsidRDefault="00BA2B55" w:rsidP="00BC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54A1" w:rsidRPr="00E40A0C">
        <w:rPr>
          <w:rFonts w:ascii="Times New Roman" w:hAnsi="Times New Roman" w:cs="Times New Roman"/>
          <w:sz w:val="28"/>
          <w:szCs w:val="28"/>
        </w:rPr>
        <w:t xml:space="preserve">еравномерность распределения налоговой базы по муниципальным образованиям Катангского муниципального района, связанная с различиями поселений Катангского муниципального района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существенные диспропорции в бюджетной обеспеченности поселений Катангского района. </w:t>
      </w:r>
    </w:p>
    <w:p w:rsidR="003054A1" w:rsidRPr="00E40A0C" w:rsidRDefault="003054A1" w:rsidP="00BC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Это требует активных действий органов местного самоуправления Катангского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значения.</w:t>
      </w:r>
    </w:p>
    <w:p w:rsidR="003054A1" w:rsidRPr="00E40A0C" w:rsidRDefault="003054A1" w:rsidP="00BC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Основные положения, регулирующие правоотношения по выравниванию бюджетной обеспеченности поселений, установлены стать</w:t>
      </w:r>
      <w:r w:rsidR="00A710D0">
        <w:rPr>
          <w:rFonts w:ascii="Times New Roman" w:hAnsi="Times New Roman" w:cs="Times New Roman"/>
          <w:sz w:val="28"/>
          <w:szCs w:val="28"/>
        </w:rPr>
        <w:t>е</w:t>
      </w:r>
      <w:r w:rsidRPr="00E40A0C">
        <w:rPr>
          <w:rFonts w:ascii="Times New Roman" w:hAnsi="Times New Roman" w:cs="Times New Roman"/>
          <w:sz w:val="28"/>
          <w:szCs w:val="28"/>
        </w:rPr>
        <w:t>й 137 Бюджетного кодекса Российской Федерации и стать</w:t>
      </w:r>
      <w:r w:rsidR="00A710D0">
        <w:rPr>
          <w:rFonts w:ascii="Times New Roman" w:hAnsi="Times New Roman" w:cs="Times New Roman"/>
          <w:sz w:val="28"/>
          <w:szCs w:val="28"/>
        </w:rPr>
        <w:t>е</w:t>
      </w:r>
      <w:r w:rsidRPr="00E40A0C">
        <w:rPr>
          <w:rFonts w:ascii="Times New Roman" w:hAnsi="Times New Roman" w:cs="Times New Roman"/>
          <w:sz w:val="28"/>
          <w:szCs w:val="28"/>
        </w:rPr>
        <w:t xml:space="preserve">й 60 Федерального закона от </w:t>
      </w:r>
      <w:r w:rsidR="00A710D0" w:rsidRPr="00E40A0C">
        <w:rPr>
          <w:rFonts w:ascii="Times New Roman" w:hAnsi="Times New Roman" w:cs="Times New Roman"/>
          <w:sz w:val="28"/>
          <w:szCs w:val="28"/>
        </w:rPr>
        <w:t>6</w:t>
      </w:r>
      <w:r w:rsidR="00A710D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710D0" w:rsidRPr="00E40A0C">
        <w:rPr>
          <w:rFonts w:ascii="Times New Roman" w:hAnsi="Times New Roman" w:cs="Times New Roman"/>
          <w:sz w:val="28"/>
          <w:szCs w:val="28"/>
        </w:rPr>
        <w:t>2003 г</w:t>
      </w:r>
      <w:r w:rsidR="00A710D0">
        <w:rPr>
          <w:rFonts w:ascii="Times New Roman" w:hAnsi="Times New Roman" w:cs="Times New Roman"/>
          <w:sz w:val="28"/>
          <w:szCs w:val="28"/>
        </w:rPr>
        <w:t>ода</w:t>
      </w:r>
      <w:r w:rsidR="00A710D0" w:rsidRPr="00E40A0C">
        <w:rPr>
          <w:rFonts w:ascii="Times New Roman" w:hAnsi="Times New Roman" w:cs="Times New Roman"/>
          <w:sz w:val="28"/>
          <w:szCs w:val="28"/>
        </w:rPr>
        <w:t xml:space="preserve"> </w:t>
      </w:r>
      <w:r w:rsidRPr="00E40A0C">
        <w:rPr>
          <w:rFonts w:ascii="Times New Roman" w:hAnsi="Times New Roman" w:cs="Times New Roman"/>
          <w:sz w:val="28"/>
          <w:szCs w:val="28"/>
        </w:rPr>
        <w:t xml:space="preserve">№ 131-ФЗ </w:t>
      </w:r>
      <w:r w:rsidR="00A710D0">
        <w:rPr>
          <w:rFonts w:ascii="Times New Roman" w:hAnsi="Times New Roman" w:cs="Times New Roman"/>
          <w:sz w:val="28"/>
          <w:szCs w:val="28"/>
        </w:rPr>
        <w:t>«</w:t>
      </w:r>
      <w:r w:rsidRPr="00E40A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10D0">
        <w:rPr>
          <w:rFonts w:ascii="Times New Roman" w:hAnsi="Times New Roman" w:cs="Times New Roman"/>
          <w:sz w:val="28"/>
          <w:szCs w:val="28"/>
        </w:rPr>
        <w:t>»</w:t>
      </w:r>
      <w:r w:rsidRPr="00E40A0C">
        <w:rPr>
          <w:rFonts w:ascii="Times New Roman" w:hAnsi="Times New Roman" w:cs="Times New Roman"/>
          <w:sz w:val="28"/>
          <w:szCs w:val="28"/>
        </w:rPr>
        <w:t>.</w:t>
      </w:r>
    </w:p>
    <w:p w:rsidR="003054A1" w:rsidRPr="00E40A0C" w:rsidRDefault="003054A1" w:rsidP="00BC4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Методика распределения дотаций на выравнивание бюджетной обеспеченности поселений утверждена решением Думы </w:t>
      </w:r>
      <w:r w:rsidR="00A710D0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40A0C">
        <w:rPr>
          <w:rFonts w:ascii="Times New Roman" w:hAnsi="Times New Roman" w:cs="Times New Roman"/>
          <w:sz w:val="28"/>
          <w:szCs w:val="28"/>
        </w:rPr>
        <w:t xml:space="preserve">«Катангский район» от </w:t>
      </w:r>
      <w:r w:rsidR="0084500A">
        <w:rPr>
          <w:rFonts w:ascii="Times New Roman" w:hAnsi="Times New Roman" w:cs="Times New Roman"/>
          <w:sz w:val="28"/>
          <w:szCs w:val="28"/>
        </w:rPr>
        <w:t>29</w:t>
      </w:r>
      <w:r w:rsidR="00A710D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4500A">
        <w:rPr>
          <w:rFonts w:ascii="Times New Roman" w:hAnsi="Times New Roman" w:cs="Times New Roman"/>
          <w:sz w:val="28"/>
          <w:szCs w:val="28"/>
        </w:rPr>
        <w:t>2017</w:t>
      </w:r>
      <w:r w:rsidR="00A710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0A0C">
        <w:rPr>
          <w:rFonts w:ascii="Times New Roman" w:hAnsi="Times New Roman" w:cs="Times New Roman"/>
          <w:sz w:val="28"/>
          <w:szCs w:val="28"/>
        </w:rPr>
        <w:t xml:space="preserve"> №</w:t>
      </w:r>
      <w:r w:rsidR="00A710D0">
        <w:rPr>
          <w:rFonts w:ascii="Times New Roman" w:hAnsi="Times New Roman" w:cs="Times New Roman"/>
          <w:sz w:val="28"/>
          <w:szCs w:val="28"/>
        </w:rPr>
        <w:t> </w:t>
      </w:r>
      <w:r w:rsidR="0084500A">
        <w:rPr>
          <w:rFonts w:ascii="Times New Roman" w:hAnsi="Times New Roman" w:cs="Times New Roman"/>
          <w:sz w:val="28"/>
          <w:szCs w:val="28"/>
        </w:rPr>
        <w:t>5/5</w:t>
      </w:r>
      <w:r w:rsidRPr="00E40A0C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</w:t>
      </w:r>
      <w:r w:rsidR="0084500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A710D0">
        <w:rPr>
          <w:rFonts w:ascii="Times New Roman" w:hAnsi="Times New Roman" w:cs="Times New Roman"/>
          <w:sz w:val="28"/>
          <w:szCs w:val="28"/>
        </w:rPr>
        <w:t xml:space="preserve"> «Катангский район».</w:t>
      </w:r>
    </w:p>
    <w:p w:rsidR="00BA2B55" w:rsidRDefault="00BA2B55" w:rsidP="00BC48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A1" w:rsidRPr="00E40A0C" w:rsidRDefault="00A710D0" w:rsidP="00BC48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:rsidR="003054A1" w:rsidRPr="00E40A0C" w:rsidRDefault="003054A1" w:rsidP="00BC48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00A" w:rsidRDefault="003054A1" w:rsidP="00A7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4500A">
        <w:rPr>
          <w:rFonts w:ascii="Times New Roman" w:hAnsi="Times New Roman" w:cs="Times New Roman"/>
          <w:sz w:val="28"/>
          <w:szCs w:val="28"/>
        </w:rPr>
        <w:t>под</w:t>
      </w:r>
      <w:r w:rsidRPr="00E40A0C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84500A" w:rsidRPr="008564CC">
        <w:rPr>
          <w:rFonts w:ascii="Times New Roman" w:hAnsi="Times New Roman"/>
          <w:sz w:val="28"/>
          <w:szCs w:val="28"/>
          <w:lang w:eastAsia="ru-RU"/>
        </w:rPr>
        <w:t>Выравнивание уровня бюджетной обеспеченности поселений Катангского района</w:t>
      </w:r>
      <w:r w:rsidR="0084500A" w:rsidRPr="00E40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054A1" w:rsidRDefault="00A710D0" w:rsidP="00BC4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3. </w:t>
      </w:r>
      <w:r w:rsidR="003054A1" w:rsidRPr="00E40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показатели (индикаторы)</w:t>
      </w:r>
    </w:p>
    <w:p w:rsidR="007E0BF2" w:rsidRPr="00E40A0C" w:rsidRDefault="007E0BF2" w:rsidP="00BC4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54A1" w:rsidRPr="00A710D0" w:rsidRDefault="00A710D0" w:rsidP="00A7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9" w:history="1">
        <w:r w:rsidRPr="00A7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BA2B55" w:rsidRPr="00A710D0" w:rsidRDefault="00BA2B55" w:rsidP="00BC4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54A1" w:rsidRPr="00A710D0" w:rsidRDefault="00A710D0" w:rsidP="00BC4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</w:t>
      </w:r>
      <w:r w:rsidR="003054A1" w:rsidRPr="00A7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</w:t>
      </w:r>
    </w:p>
    <w:p w:rsidR="00A710D0" w:rsidRPr="00A710D0" w:rsidRDefault="00A710D0" w:rsidP="00A7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4A1" w:rsidRPr="00A710D0" w:rsidRDefault="003054A1" w:rsidP="00A7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2019-2024 годах.</w:t>
      </w:r>
      <w:r w:rsidR="00A710D0" w:rsidRPr="00A7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подпрограммы не выделяются.</w:t>
      </w:r>
    </w:p>
    <w:p w:rsidR="003054A1" w:rsidRPr="00A710D0" w:rsidRDefault="003054A1" w:rsidP="00BC48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4A1" w:rsidRPr="00A710D0" w:rsidRDefault="00A710D0" w:rsidP="00BC4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</w:t>
      </w:r>
      <w:r w:rsidR="003054A1" w:rsidRPr="00A7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мероприятия</w:t>
      </w:r>
    </w:p>
    <w:p w:rsidR="003054A1" w:rsidRPr="00A710D0" w:rsidRDefault="003054A1" w:rsidP="00BC4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54A1" w:rsidRPr="00E40A0C" w:rsidRDefault="003054A1" w:rsidP="00BC4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</w:t>
      </w:r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указанием ответственных исполнителей, сроков реализации и непосредственных результатов представлен в </w:t>
      </w:r>
      <w:hyperlink r:id="rId10" w:history="1">
        <w:r w:rsidR="00A710D0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A710D0">
          <w:rPr>
            <w:rFonts w:ascii="Times New Roman" w:hAnsi="Times New Roman" w:cs="Times New Roman"/>
            <w:color w:val="0000FF"/>
            <w:sz w:val="28"/>
            <w:szCs w:val="28"/>
          </w:rPr>
          <w:t>риложении 2</w:t>
        </w:r>
      </w:hyperlink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программе.</w:t>
      </w:r>
    </w:p>
    <w:p w:rsidR="003054A1" w:rsidRPr="00E40A0C" w:rsidRDefault="003054A1" w:rsidP="00BC48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A1" w:rsidRPr="00E40A0C" w:rsidRDefault="00A710D0" w:rsidP="00BC4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</w:t>
      </w:r>
      <w:r w:rsidR="003054A1"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3054A1" w:rsidRPr="00E40A0C" w:rsidRDefault="003054A1" w:rsidP="00BC4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4A1" w:rsidRPr="00E40A0C" w:rsidRDefault="00A710D0" w:rsidP="00BC4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программы не формируются (</w:t>
      </w:r>
      <w:hyperlink r:id="rId11" w:history="1">
        <w:r w:rsidRPr="00A7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3</w:t>
        </w:r>
      </w:hyperlink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54A1" w:rsidRPr="00E40A0C" w:rsidRDefault="003054A1" w:rsidP="00BC4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A1" w:rsidRPr="00E40A0C" w:rsidRDefault="00A710D0" w:rsidP="00BC4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3054A1"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органами государственной власти и местного самоуправления, организациями и гражданами</w:t>
      </w:r>
    </w:p>
    <w:p w:rsidR="003054A1" w:rsidRPr="00E40A0C" w:rsidRDefault="003054A1" w:rsidP="00BC4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4A1" w:rsidRPr="00E40A0C" w:rsidRDefault="003054A1" w:rsidP="00BC48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взаимодействие </w:t>
      </w:r>
      <w:proofErr w:type="gramStart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4A1" w:rsidRPr="00E40A0C" w:rsidRDefault="003054A1" w:rsidP="00A71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Иркутской области;</w:t>
      </w:r>
    </w:p>
    <w:p w:rsidR="003054A1" w:rsidRPr="00E40A0C" w:rsidRDefault="003054A1" w:rsidP="00A71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по Иркутской области;</w:t>
      </w:r>
    </w:p>
    <w:p w:rsidR="003054A1" w:rsidRPr="00E40A0C" w:rsidRDefault="003054A1" w:rsidP="00A71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Федерального казначейства по Иркутской области;</w:t>
      </w:r>
    </w:p>
    <w:p w:rsidR="003054A1" w:rsidRPr="00E40A0C" w:rsidRDefault="003054A1" w:rsidP="00A71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A710D0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район»;</w:t>
      </w:r>
    </w:p>
    <w:p w:rsidR="003054A1" w:rsidRPr="00E40A0C" w:rsidRDefault="003054A1" w:rsidP="00A71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proofErr w:type="spellEnd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D0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4A1" w:rsidRPr="00E40A0C" w:rsidRDefault="003054A1" w:rsidP="00A71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D0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4A1" w:rsidRPr="00E40A0C" w:rsidRDefault="003054A1" w:rsidP="00A71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Преображенского </w:t>
      </w:r>
      <w:r w:rsidR="00A710D0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4A1" w:rsidRPr="00E40A0C" w:rsidRDefault="003054A1" w:rsidP="00A71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proofErr w:type="spellEnd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D0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4A1" w:rsidRPr="00E40A0C" w:rsidRDefault="003054A1" w:rsidP="00BC4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A1" w:rsidRPr="00E40A0C" w:rsidRDefault="00A710D0" w:rsidP="00BC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</w:t>
      </w:r>
      <w:r w:rsidR="003054A1"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3054A1" w:rsidRPr="00E40A0C" w:rsidRDefault="003054A1" w:rsidP="00BC4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D0" w:rsidRPr="00A710D0" w:rsidRDefault="00A710D0" w:rsidP="00A71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программы по годам реализации представлена в </w:t>
      </w:r>
      <w:hyperlink r:id="rId12" w:history="1">
        <w:r w:rsidRPr="00A7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A710D0" w:rsidRPr="00A710D0" w:rsidRDefault="00A710D0" w:rsidP="00A71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hyperlink r:id="rId13" w:history="1">
        <w:r w:rsidRPr="00A7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A710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программе.</w:t>
      </w:r>
    </w:p>
    <w:p w:rsidR="00A710D0" w:rsidRPr="00A710D0" w:rsidRDefault="00A710D0" w:rsidP="00A710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A1" w:rsidRPr="00E40A0C" w:rsidRDefault="00A710D0" w:rsidP="00BC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</w:t>
      </w:r>
      <w:r w:rsidR="003054A1"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3054A1" w:rsidRPr="00E40A0C" w:rsidRDefault="003054A1" w:rsidP="00BC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A1" w:rsidRPr="00E40A0C" w:rsidRDefault="003054A1" w:rsidP="00BC4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экономической ситуации в стране. Мониторинг </w:t>
      </w:r>
      <w:proofErr w:type="gramStart"/>
      <w:r w:rsidRPr="00E40A0C">
        <w:rPr>
          <w:rFonts w:ascii="Times New Roman" w:hAnsi="Times New Roman" w:cs="Times New Roman"/>
          <w:sz w:val="28"/>
          <w:szCs w:val="28"/>
        </w:rPr>
        <w:t>ситуации-корректировка</w:t>
      </w:r>
      <w:proofErr w:type="gramEnd"/>
      <w:r w:rsidRPr="00E40A0C">
        <w:rPr>
          <w:rFonts w:ascii="Times New Roman" w:hAnsi="Times New Roman" w:cs="Times New Roman"/>
          <w:sz w:val="28"/>
          <w:szCs w:val="28"/>
        </w:rPr>
        <w:t xml:space="preserve"> параметров бюджета.</w:t>
      </w:r>
    </w:p>
    <w:p w:rsidR="003054A1" w:rsidRPr="00E40A0C" w:rsidRDefault="003054A1" w:rsidP="00BC4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Изменение бюджетного и налогового законодательства. Внесение изменений в бюджет района. </w:t>
      </w:r>
    </w:p>
    <w:p w:rsidR="003054A1" w:rsidRPr="00E40A0C" w:rsidRDefault="003054A1" w:rsidP="00BC4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Поступление доходов в бюджет района в объемах ниже запланированных. Взаимодействие с главными администраторами доходов по вопросам исполнения бюджета района.</w:t>
      </w:r>
    </w:p>
    <w:p w:rsidR="003054A1" w:rsidRPr="00E40A0C" w:rsidRDefault="003054A1" w:rsidP="00BC4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Риск наращивания расходов бюджета района, необеспеченных доходами, увеличение объема дефицита бюджета района. Для минимизации риска необходимо проведение жесткой бюджетной политики.</w:t>
      </w:r>
    </w:p>
    <w:p w:rsidR="003054A1" w:rsidRPr="00E40A0C" w:rsidRDefault="003054A1" w:rsidP="00BC4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4A1" w:rsidRDefault="00A710D0" w:rsidP="00BC48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10. </w:t>
      </w:r>
      <w:r w:rsidR="003054A1" w:rsidRPr="00E40A0C">
        <w:rPr>
          <w:rFonts w:ascii="Times New Roman" w:hAnsi="Times New Roman" w:cs="Times New Roman"/>
          <w:b/>
          <w:sz w:val="28"/>
          <w:szCs w:val="28"/>
        </w:rPr>
        <w:t>Конечные результаты и оценка эффективности</w:t>
      </w:r>
    </w:p>
    <w:p w:rsidR="00A710D0" w:rsidRPr="00E40A0C" w:rsidRDefault="00A710D0" w:rsidP="00BC48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E1" w:rsidRDefault="009A51E1" w:rsidP="00BC4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просроченной кредиторской задолженности не превысит 1 процента в расхо</w:t>
      </w:r>
      <w:r w:rsid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бюджетов сельских поселений.</w:t>
      </w:r>
    </w:p>
    <w:p w:rsidR="003054A1" w:rsidRDefault="009A51E1" w:rsidP="00BC4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всеми сельскими поселениями ограничений по объему дефицита бюджета сельских поселений, рассчитанн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кодекса РФ</w:t>
      </w:r>
      <w:r w:rsidR="00A7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0D0" w:rsidRDefault="00A71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6138" w:rsidRPr="00266138" w:rsidRDefault="00A710D0" w:rsidP="0026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10D0">
        <w:rPr>
          <w:rFonts w:ascii="Times New Roman" w:hAnsi="Times New Roman"/>
          <w:b/>
          <w:sz w:val="28"/>
          <w:szCs w:val="28"/>
          <w:lang w:eastAsia="ru-RU"/>
        </w:rPr>
        <w:lastRenderedPageBreak/>
        <w:t>Краткая характеристика (паспорт)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0918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266138">
        <w:rPr>
          <w:rFonts w:ascii="Times New Roman" w:hAnsi="Times New Roman"/>
          <w:b/>
          <w:sz w:val="28"/>
          <w:szCs w:val="28"/>
          <w:lang w:eastAsia="ru-RU"/>
        </w:rPr>
        <w:t>одпрограмм</w:t>
      </w:r>
      <w:r w:rsidR="00A70918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2661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6138" w:rsidRPr="0026613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66138" w:rsidRPr="0026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Формирование, исполнение и </w:t>
      </w:r>
      <w:proofErr w:type="gramStart"/>
      <w:r w:rsidR="00266138" w:rsidRPr="0026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266138" w:rsidRPr="0026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бюджета и смет</w:t>
      </w:r>
      <w:r w:rsidR="0026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ы, ведение бухгалтерского учета</w:t>
      </w:r>
      <w:r w:rsidR="00266138" w:rsidRPr="0026613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66138" w:rsidRPr="00266138" w:rsidRDefault="00266138" w:rsidP="0026613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6851"/>
      </w:tblGrid>
      <w:tr w:rsidR="00266138" w:rsidRPr="00F80DFE" w:rsidTr="00A710D0">
        <w:tc>
          <w:tcPr>
            <w:tcW w:w="1524" w:type="pct"/>
          </w:tcPr>
          <w:p w:rsidR="00266138" w:rsidRPr="00F80DFE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476" w:type="pct"/>
          </w:tcPr>
          <w:p w:rsidR="00266138" w:rsidRPr="008564CC" w:rsidRDefault="00266138" w:rsidP="00A710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Формирование, исполнение и </w:t>
            </w:r>
            <w:proofErr w:type="gramStart"/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бюджета и сметы, ведение бухгалтерского учета.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476" w:type="pct"/>
          </w:tcPr>
          <w:p w:rsidR="00266138" w:rsidRPr="008564CC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r w:rsidR="00A710D0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A710D0" w:rsidRPr="0085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3476" w:type="pct"/>
          </w:tcPr>
          <w:p w:rsidR="00266138" w:rsidRPr="008564CC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4CC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476" w:type="pct"/>
          </w:tcPr>
          <w:p w:rsidR="00266138" w:rsidRPr="008564CC" w:rsidRDefault="004D4F8F" w:rsidP="00A710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сбалансированности и устойчивости бюджета </w:t>
            </w:r>
            <w:r w:rsidR="00A710D0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3476" w:type="pct"/>
          </w:tcPr>
          <w:p w:rsidR="00266138" w:rsidRPr="008564CC" w:rsidRDefault="004D4F8F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эффективного управления муниципальными финансами, организация бюджетного процесса в рамках полномочий финансового управления, управление муниципальным долгом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3476" w:type="pct"/>
          </w:tcPr>
          <w:p w:rsidR="00266138" w:rsidRPr="008564CC" w:rsidRDefault="004D4F8F" w:rsidP="00A710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дефицита бюджета </w:t>
            </w:r>
            <w:r w:rsidR="00A710D0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A71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«Катангский район» Объем просроченной задолженности по погашению долговых обязательств бюджета </w:t>
            </w:r>
            <w:r w:rsidR="00A710D0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A71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A710D0" w:rsidP="00A7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</w:t>
            </w:r>
            <w:r w:rsidR="00266138"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476" w:type="pct"/>
          </w:tcPr>
          <w:p w:rsidR="00266138" w:rsidRPr="00A710D0" w:rsidRDefault="00266138" w:rsidP="00A7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3476" w:type="pct"/>
          </w:tcPr>
          <w:p w:rsidR="00A710D0" w:rsidRDefault="00A710D0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101 551,818 </w:t>
            </w:r>
            <w:r w:rsidRP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16 184,703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16 701,903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17 166,303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17 166,303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17 166,303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17 166,303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3D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A96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E6A96" w:rsidRPr="00A710D0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собственных средств бюджета </w:t>
            </w:r>
            <w:r w:rsidR="00A710D0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A710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85 047,600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13 434,000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13 951,200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14 415,600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14 415,600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14 415,600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14 415,600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3D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Pr="00A710D0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счет субвенции из бюджета поселений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16 504,218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E6A96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66138" w:rsidRPr="00E40A0C" w:rsidRDefault="008E6A96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A710D0" w:rsidRPr="00BD632F">
              <w:rPr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2 750,703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A7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266138" w:rsidRPr="00F80DFE" w:rsidTr="00A710D0">
        <w:tc>
          <w:tcPr>
            <w:tcW w:w="1524" w:type="pct"/>
          </w:tcPr>
          <w:p w:rsidR="00266138" w:rsidRPr="00F80DFE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476" w:type="pct"/>
          </w:tcPr>
          <w:p w:rsidR="00266138" w:rsidRPr="00E40A0C" w:rsidRDefault="00266138" w:rsidP="00A710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>Уровень муниципального долга в соответствии с требованиями Бюджетного кодекса РФ;</w:t>
            </w:r>
          </w:p>
          <w:p w:rsidR="00266138" w:rsidRPr="00E40A0C" w:rsidRDefault="00266138" w:rsidP="00A71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просроченной задолженности по погашению долговых обязательств </w:t>
            </w:r>
            <w:r w:rsidR="003D3CDB" w:rsidRPr="00BC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D3C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 0 тыс. рублей;</w:t>
            </w:r>
          </w:p>
          <w:p w:rsidR="00266138" w:rsidRPr="008564CC" w:rsidRDefault="00266138" w:rsidP="00A710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дефицита бюджета района – не более 10%;</w:t>
            </w:r>
          </w:p>
        </w:tc>
      </w:tr>
    </w:tbl>
    <w:p w:rsidR="00A17091" w:rsidRPr="00E40A0C" w:rsidRDefault="00A17091" w:rsidP="00A1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B8" w:rsidRPr="00E40A0C" w:rsidRDefault="003D3CDB" w:rsidP="00E37F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E37FA7"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</w:t>
      </w:r>
      <w:r w:rsidR="001F5EB8"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рактеристика сферы деятельности</w:t>
      </w:r>
    </w:p>
    <w:p w:rsidR="00376FCC" w:rsidRPr="00E40A0C" w:rsidRDefault="00E37FA7" w:rsidP="00376F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40A0C">
        <w:rPr>
          <w:rFonts w:ascii="Times New Roman" w:hAnsi="Times New Roman"/>
          <w:sz w:val="28"/>
          <w:szCs w:val="28"/>
        </w:rPr>
        <w:t>Программа разработана в целях дальнейшего развития реформирования системы управления муниципальными финансами  и  направлена на дальнейшую оптимизацию бюджетного процесса и внедрение новых инструментов управления муниципальными финансами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376FCC" w:rsidRPr="00E40A0C" w:rsidRDefault="00B84B58" w:rsidP="00376FCC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постоянной основе обеспечивается своевременное принятие </w:t>
      </w:r>
      <w:r w:rsidR="00D12041" w:rsidRPr="00E40A0C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D12041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при необходимости внесение в него изменений. В этих целях </w:t>
      </w:r>
      <w:r w:rsidR="00D12041" w:rsidRPr="00E40A0C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нормативный правовой акт 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D3CDB" w:rsidRPr="00BC48F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D3C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>«Катангский район»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порядка и сроков составления проекта бюджета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, и порядка работы над документами и материалами, представленными в 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>Думу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 с проектом бюджета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FCC" w:rsidRPr="00E40A0C" w:rsidRDefault="00B84B58" w:rsidP="00376FCC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Своевременная и качественная подготовка проекта 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>решения о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организация исполнения бюджета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формирование бюджетной отчетности являются надежным обеспечением исполнения расходных обязательств 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позволяют оценить степень их исполнения, повысить прозрачность бюджетной системы 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FCC" w:rsidRPr="00E40A0C" w:rsidRDefault="00B84B58" w:rsidP="008E6A9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Кроме того, в соответствии с требованиями Бюджетного кодекса Российской Федерации утверждены и постоянно актуализируются:</w:t>
      </w:r>
      <w:proofErr w:type="gramEnd"/>
    </w:p>
    <w:p w:rsidR="00376FCC" w:rsidRPr="00E40A0C" w:rsidRDefault="00B84B58" w:rsidP="008E6A9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D3C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Порядок и методика планирования бюджетных ассигнований.</w:t>
      </w:r>
    </w:p>
    <w:p w:rsidR="00376FCC" w:rsidRPr="00E40A0C" w:rsidRDefault="00B84B58" w:rsidP="003D3CDB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3D3C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Порядок составления и ведения сводной бюджетной росписи бюджета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и бюджетных росписей главных распорядителей (распорядителей) средств бюджета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FCC" w:rsidRPr="00E40A0C" w:rsidRDefault="00B84B58" w:rsidP="003D3CDB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D3C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Порядок составления и ведения кассового плана бюджета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FCC" w:rsidRPr="00E40A0C" w:rsidRDefault="00B84B58" w:rsidP="003D3CDB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D3C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ведения реестра расходных обязательств </w:t>
      </w:r>
      <w:r w:rsidR="003D3CDB" w:rsidRPr="00BC48F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D3C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>«Катангский район»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8" w:rsidRPr="00E40A0C" w:rsidRDefault="00B84B58" w:rsidP="003D3CDB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D3C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Порядок применения бюджетной классификации Российской Федерации в части, относящейся к бюджету</w:t>
      </w:r>
      <w:r w:rsidR="00A6420F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B58" w:rsidRPr="00E40A0C" w:rsidRDefault="00B84B58" w:rsidP="003D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</w:t>
      </w:r>
      <w:r w:rsidR="00A6420F"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книги </w:t>
      </w:r>
      <w:r w:rsidR="003D3CDB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D3C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20F"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B58" w:rsidRPr="00E40A0C" w:rsidRDefault="00A6420F" w:rsidP="003D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4B58"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B58"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работы с исполнительными документами, поступающими в 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B84B58"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B58" w:rsidRPr="00E40A0C" w:rsidRDefault="00A6420F" w:rsidP="003D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84B58"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исполнения бюджета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84B58"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расходам.</w:t>
      </w:r>
    </w:p>
    <w:p w:rsidR="00B84B58" w:rsidRPr="00E40A0C" w:rsidRDefault="00A6420F" w:rsidP="003D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4B58"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B58"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открытия и ведения лицевых счетов 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управлением.</w:t>
      </w:r>
    </w:p>
    <w:p w:rsidR="001F5EB8" w:rsidRPr="00E40A0C" w:rsidRDefault="001F5EB8" w:rsidP="008E6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EB8" w:rsidRPr="00E40A0C" w:rsidRDefault="003D3CDB" w:rsidP="008E6A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DB">
        <w:rPr>
          <w:rFonts w:ascii="Times New Roman" w:hAnsi="Times New Roman" w:cs="Times New Roman"/>
          <w:b/>
          <w:sz w:val="28"/>
          <w:szCs w:val="28"/>
        </w:rPr>
        <w:t>2. Приоритеты, цели и задачи в сфере деятельности</w:t>
      </w:r>
    </w:p>
    <w:p w:rsidR="001F5EB8" w:rsidRPr="00E40A0C" w:rsidRDefault="001F5EB8" w:rsidP="008E6A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58" w:rsidRPr="00E40A0C" w:rsidRDefault="00B84B58" w:rsidP="003D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76FCC" w:rsidRPr="00E40A0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40A0C">
        <w:rPr>
          <w:rFonts w:ascii="Times New Roman" w:hAnsi="Times New Roman" w:cs="Times New Roman"/>
          <w:sz w:val="28"/>
          <w:szCs w:val="28"/>
        </w:rPr>
        <w:t>является обеспечение сбалансированности и устойчивости бюджета</w:t>
      </w:r>
      <w:r w:rsidR="00A6420F" w:rsidRPr="00E40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4B58" w:rsidRPr="00E40A0C" w:rsidRDefault="00B84B58" w:rsidP="003D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Для достижения указанной цели в условиях бюджетных ограничений необходимо решение следующих задач:</w:t>
      </w:r>
    </w:p>
    <w:p w:rsidR="007E0BF2" w:rsidRDefault="007E0BF2" w:rsidP="003D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эффективного управления муниципальными финансами, организация бюджетного процесса в рамках полномочий финансового управления, управление муниципальным долгом.</w:t>
      </w:r>
    </w:p>
    <w:p w:rsidR="00B84B58" w:rsidRPr="00E40A0C" w:rsidRDefault="0030518F" w:rsidP="007E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DB" w:rsidRPr="003D3CDB" w:rsidRDefault="003D3CDB" w:rsidP="003D3C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Целевые показатели (индикаторы).</w:t>
      </w: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14" w:history="1">
        <w:r w:rsidRPr="003D3C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3D3CDB" w:rsidRPr="003D3CDB" w:rsidRDefault="003D3CDB" w:rsidP="003D3C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B" w:rsidRPr="003D3CDB" w:rsidRDefault="003D3CDB" w:rsidP="003D3C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и этапы реализации</w:t>
      </w: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подпрограммы 2019-2024 годы.</w:t>
      </w:r>
    </w:p>
    <w:p w:rsidR="001F5EB8" w:rsidRPr="00E40A0C" w:rsidRDefault="001F5EB8" w:rsidP="001F5E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DB" w:rsidRPr="003D3CDB" w:rsidRDefault="003D3CDB" w:rsidP="003D3C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мероприятия</w:t>
      </w: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подпрограммных мероприятий по годам реализации приведена в </w:t>
      </w:r>
      <w:hyperlink r:id="rId15" w:history="1">
        <w:r w:rsidRPr="003D3C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3D3CDB" w:rsidRPr="003D3CDB" w:rsidRDefault="003D3CDB" w:rsidP="003D3C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B" w:rsidRPr="003D3CDB" w:rsidRDefault="003D3CDB" w:rsidP="003D3C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сводных показателей муниципальных заданий</w:t>
      </w: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6" w:history="1">
        <w:r w:rsidRPr="003D3CDB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8"/>
            <w:u w:val="single"/>
            <w:lang w:eastAsia="ru-RU"/>
          </w:rPr>
          <w:t>Приложение 3</w:t>
        </w:r>
      </w:hyperlink>
      <w:r w:rsidRPr="003D3CD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).</w:t>
      </w:r>
    </w:p>
    <w:p w:rsidR="001F5EB8" w:rsidRPr="00E40A0C" w:rsidRDefault="003D3CDB" w:rsidP="001F5E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7. </w:t>
      </w:r>
      <w:r w:rsidR="001F5EB8"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органами государственной власти и местного самоуправления, организациями и гражданами</w:t>
      </w:r>
    </w:p>
    <w:p w:rsidR="001F5EB8" w:rsidRPr="00E40A0C" w:rsidRDefault="001F5EB8" w:rsidP="001F5E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B8" w:rsidRPr="00E40A0C" w:rsidRDefault="001F5EB8" w:rsidP="001F5E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взаимодействие </w:t>
      </w:r>
      <w:proofErr w:type="gramStart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EB8" w:rsidRPr="00E40A0C" w:rsidRDefault="001F5EB8" w:rsidP="003D3C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Иркутской области;</w:t>
      </w:r>
    </w:p>
    <w:p w:rsidR="001F5EB8" w:rsidRPr="00E40A0C" w:rsidRDefault="001F5EB8" w:rsidP="003D3C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по Иркутской области;</w:t>
      </w:r>
    </w:p>
    <w:p w:rsidR="001F5EB8" w:rsidRPr="00E40A0C" w:rsidRDefault="001F5EB8" w:rsidP="003D3C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Федерального казначейства по Иркутской области;</w:t>
      </w:r>
    </w:p>
    <w:p w:rsidR="001F5EB8" w:rsidRPr="00E40A0C" w:rsidRDefault="001F5EB8" w:rsidP="003D3C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D3CDB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D3C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район»;</w:t>
      </w:r>
    </w:p>
    <w:p w:rsidR="001F5EB8" w:rsidRPr="00E40A0C" w:rsidRDefault="001F5EB8" w:rsidP="003D3C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proofErr w:type="spellEnd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CDB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EB8" w:rsidRPr="00E40A0C" w:rsidRDefault="001F5EB8" w:rsidP="003D3C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Непского</w:t>
      </w:r>
      <w:proofErr w:type="spellEnd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CDB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EB8" w:rsidRPr="00E40A0C" w:rsidRDefault="001F5EB8" w:rsidP="003D3C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Преображенского </w:t>
      </w:r>
      <w:r w:rsidR="003D3CDB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EB8" w:rsidRPr="00E40A0C" w:rsidRDefault="001F5EB8" w:rsidP="003D3C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proofErr w:type="spellEnd"/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CDB" w:rsidRPr="00BC4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EB8" w:rsidRPr="00E40A0C" w:rsidRDefault="001F5EB8" w:rsidP="001F5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B" w:rsidRPr="003D3CDB" w:rsidRDefault="003D3CDB" w:rsidP="003D3C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Ресурсное обеспечение</w:t>
      </w: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7" w:history="1">
        <w:r w:rsidRPr="003D3C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3D3CDB" w:rsidRPr="003D3CDB" w:rsidRDefault="003D3CDB" w:rsidP="003D3C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8" w:history="1">
        <w:r w:rsidRPr="003D3C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3D3CD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программе.</w:t>
      </w:r>
    </w:p>
    <w:p w:rsidR="001F5EB8" w:rsidRPr="00E40A0C" w:rsidRDefault="001F5EB8" w:rsidP="003D3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B8" w:rsidRPr="00E40A0C" w:rsidRDefault="003D3CDB" w:rsidP="003D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</w:t>
      </w:r>
      <w:r w:rsidR="001F5EB8"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1F5EB8" w:rsidRPr="00E40A0C" w:rsidRDefault="001F5EB8" w:rsidP="003D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B8" w:rsidRPr="00E40A0C" w:rsidRDefault="00944220" w:rsidP="003D3C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Изменение экономической ситуации в стране. Мониторинг </w:t>
      </w:r>
      <w:proofErr w:type="gramStart"/>
      <w:r w:rsidRPr="00E40A0C">
        <w:rPr>
          <w:rFonts w:ascii="Times New Roman" w:hAnsi="Times New Roman" w:cs="Times New Roman"/>
          <w:sz w:val="28"/>
          <w:szCs w:val="28"/>
        </w:rPr>
        <w:t>ситуации-корректировка</w:t>
      </w:r>
      <w:proofErr w:type="gramEnd"/>
      <w:r w:rsidRPr="00E40A0C">
        <w:rPr>
          <w:rFonts w:ascii="Times New Roman" w:hAnsi="Times New Roman" w:cs="Times New Roman"/>
          <w:sz w:val="28"/>
          <w:szCs w:val="28"/>
        </w:rPr>
        <w:t xml:space="preserve"> параметров бюджета.</w:t>
      </w:r>
    </w:p>
    <w:p w:rsidR="001F5EB8" w:rsidRPr="00E40A0C" w:rsidRDefault="00944220" w:rsidP="003D3C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Изменение бюджетного и налогового законодательства. Внесение изменений в бюджет района. </w:t>
      </w:r>
    </w:p>
    <w:p w:rsidR="00944220" w:rsidRPr="00E40A0C" w:rsidRDefault="00944220" w:rsidP="003D3C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Поступление доходов в бюджет района в объемах ниже запланированных. Взаимодействие с главными администраторами доходов по вопросам исполнения бюджета района.</w:t>
      </w:r>
    </w:p>
    <w:p w:rsidR="00944220" w:rsidRPr="00E40A0C" w:rsidRDefault="00944220" w:rsidP="003D3C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Риск наращивания расходов</w:t>
      </w:r>
      <w:r w:rsidR="00A66A5A" w:rsidRPr="00E40A0C">
        <w:rPr>
          <w:rFonts w:ascii="Times New Roman" w:hAnsi="Times New Roman" w:cs="Times New Roman"/>
          <w:sz w:val="28"/>
          <w:szCs w:val="28"/>
        </w:rPr>
        <w:t xml:space="preserve"> бюджета района, необеспеченных доходами, увеличение объема дефицита бюджета района. Для минимизации риска необходимо проведение жесткой бюджетной политики.</w:t>
      </w:r>
    </w:p>
    <w:p w:rsidR="00376FCC" w:rsidRPr="00E40A0C" w:rsidRDefault="00376FCC" w:rsidP="003D3C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EB8" w:rsidRPr="00E40A0C" w:rsidRDefault="001F5EB8" w:rsidP="003D3C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0C">
        <w:rPr>
          <w:rFonts w:ascii="Times New Roman" w:hAnsi="Times New Roman" w:cs="Times New Roman"/>
          <w:b/>
          <w:sz w:val="28"/>
          <w:szCs w:val="28"/>
        </w:rPr>
        <w:t>Конечные результаты и оценка эффективности</w:t>
      </w:r>
    </w:p>
    <w:p w:rsidR="001F5EB8" w:rsidRPr="00E40A0C" w:rsidRDefault="001F5EB8" w:rsidP="003D3C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E1" w:rsidRPr="00E40A0C" w:rsidRDefault="009A51E1" w:rsidP="003D3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Уровень муниципального долга в соответствии с требованиями Бюджетного кодекса РФ;</w:t>
      </w:r>
    </w:p>
    <w:p w:rsidR="009A51E1" w:rsidRDefault="009A51E1" w:rsidP="003D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просроченной задолженности по погашению долговых обязательств МО «Катангский район» 0 тыс. рублей;</w:t>
      </w:r>
    </w:p>
    <w:p w:rsidR="00D858B5" w:rsidRDefault="009A51E1" w:rsidP="003D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ра</w:t>
      </w:r>
      <w:r w:rsidR="003D3CD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</w:t>
      </w:r>
      <w:r w:rsidRPr="00E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10%;</w:t>
      </w:r>
    </w:p>
    <w:sectPr w:rsidR="00D858B5" w:rsidSect="00A710D0">
      <w:footerReference w:type="default" r:id="rId19"/>
      <w:footerReference w:type="firs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D0" w:rsidRDefault="00A710D0">
      <w:pPr>
        <w:spacing w:after="0" w:line="240" w:lineRule="auto"/>
      </w:pPr>
      <w:r>
        <w:separator/>
      </w:r>
    </w:p>
  </w:endnote>
  <w:endnote w:type="continuationSeparator" w:id="0">
    <w:p w:rsidR="00A710D0" w:rsidRDefault="00A7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29302"/>
      <w:docPartObj>
        <w:docPartGallery w:val="Page Numbers (Bottom of Page)"/>
        <w:docPartUnique/>
      </w:docPartObj>
    </w:sdtPr>
    <w:sdtContent>
      <w:p w:rsidR="00A710D0" w:rsidRDefault="00A710D0">
        <w:pPr>
          <w:pStyle w:val="aa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3D3CDB">
          <w:rPr>
            <w:rFonts w:ascii="Times New Roman" w:hAnsi="Times New Roman"/>
            <w:noProof/>
          </w:rPr>
          <w:t>2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A710D0" w:rsidRDefault="00A710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D0" w:rsidRPr="00B60CF2" w:rsidRDefault="00A710D0">
    <w:pPr>
      <w:pStyle w:val="aa"/>
      <w:jc w:val="center"/>
      <w:rPr>
        <w:rFonts w:ascii="Times New Roman" w:hAnsi="Times New Roman"/>
      </w:rPr>
    </w:pPr>
  </w:p>
  <w:p w:rsidR="00A710D0" w:rsidRDefault="00A710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D0" w:rsidRDefault="00A710D0">
      <w:pPr>
        <w:spacing w:after="0" w:line="240" w:lineRule="auto"/>
      </w:pPr>
      <w:r>
        <w:separator/>
      </w:r>
    </w:p>
  </w:footnote>
  <w:footnote w:type="continuationSeparator" w:id="0">
    <w:p w:rsidR="00A710D0" w:rsidRDefault="00A7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067F3"/>
    <w:multiLevelType w:val="hybridMultilevel"/>
    <w:tmpl w:val="38F8EC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18D5BBF"/>
    <w:multiLevelType w:val="hybridMultilevel"/>
    <w:tmpl w:val="D3EA64D8"/>
    <w:lvl w:ilvl="0" w:tplc="F140CF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6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22"/>
  </w:num>
  <w:num w:numId="5">
    <w:abstractNumId w:val="9"/>
  </w:num>
  <w:num w:numId="6">
    <w:abstractNumId w:val="20"/>
  </w:num>
  <w:num w:numId="7">
    <w:abstractNumId w:val="8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25"/>
  </w:num>
  <w:num w:numId="13">
    <w:abstractNumId w:val="27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1"/>
  </w:num>
  <w:num w:numId="20">
    <w:abstractNumId w:val="24"/>
  </w:num>
  <w:num w:numId="21">
    <w:abstractNumId w:val="19"/>
  </w:num>
  <w:num w:numId="22">
    <w:abstractNumId w:val="2"/>
  </w:num>
  <w:num w:numId="23">
    <w:abstractNumId w:val="7"/>
  </w:num>
  <w:num w:numId="24">
    <w:abstractNumId w:val="18"/>
  </w:num>
  <w:num w:numId="25">
    <w:abstractNumId w:val="23"/>
  </w:num>
  <w:num w:numId="26">
    <w:abstractNumId w:val="10"/>
  </w:num>
  <w:num w:numId="2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6D"/>
    <w:rsid w:val="00004718"/>
    <w:rsid w:val="00042648"/>
    <w:rsid w:val="00051A5C"/>
    <w:rsid w:val="00062438"/>
    <w:rsid w:val="000627B1"/>
    <w:rsid w:val="000A7731"/>
    <w:rsid w:val="000B4BBD"/>
    <w:rsid w:val="000D4260"/>
    <w:rsid w:val="000E06B6"/>
    <w:rsid w:val="001005AB"/>
    <w:rsid w:val="0010407F"/>
    <w:rsid w:val="00104B24"/>
    <w:rsid w:val="00116673"/>
    <w:rsid w:val="00116EC3"/>
    <w:rsid w:val="00130198"/>
    <w:rsid w:val="001577C2"/>
    <w:rsid w:val="001801F1"/>
    <w:rsid w:val="001841EA"/>
    <w:rsid w:val="00193C49"/>
    <w:rsid w:val="001D2068"/>
    <w:rsid w:val="001F3A44"/>
    <w:rsid w:val="001F5EB8"/>
    <w:rsid w:val="0022560E"/>
    <w:rsid w:val="00241514"/>
    <w:rsid w:val="002522B3"/>
    <w:rsid w:val="0026388B"/>
    <w:rsid w:val="00266138"/>
    <w:rsid w:val="00297D30"/>
    <w:rsid w:val="002D27A7"/>
    <w:rsid w:val="002D4170"/>
    <w:rsid w:val="002D66EE"/>
    <w:rsid w:val="002E0221"/>
    <w:rsid w:val="0030518F"/>
    <w:rsid w:val="003054A1"/>
    <w:rsid w:val="00330322"/>
    <w:rsid w:val="00335084"/>
    <w:rsid w:val="00362C3E"/>
    <w:rsid w:val="00370450"/>
    <w:rsid w:val="00376FCC"/>
    <w:rsid w:val="003A0EB2"/>
    <w:rsid w:val="003A688C"/>
    <w:rsid w:val="003D2E10"/>
    <w:rsid w:val="003D3CDB"/>
    <w:rsid w:val="003E53BA"/>
    <w:rsid w:val="003F2DA7"/>
    <w:rsid w:val="004455B6"/>
    <w:rsid w:val="004560A8"/>
    <w:rsid w:val="0046685C"/>
    <w:rsid w:val="004A1440"/>
    <w:rsid w:val="004D4F8F"/>
    <w:rsid w:val="00501ABD"/>
    <w:rsid w:val="00521CA3"/>
    <w:rsid w:val="005543D6"/>
    <w:rsid w:val="00592DEC"/>
    <w:rsid w:val="005B1137"/>
    <w:rsid w:val="005F1239"/>
    <w:rsid w:val="005F2854"/>
    <w:rsid w:val="005F2EF9"/>
    <w:rsid w:val="00632CF1"/>
    <w:rsid w:val="00634503"/>
    <w:rsid w:val="00714C4A"/>
    <w:rsid w:val="00722C4D"/>
    <w:rsid w:val="00752520"/>
    <w:rsid w:val="00755ED3"/>
    <w:rsid w:val="00760BE5"/>
    <w:rsid w:val="00797547"/>
    <w:rsid w:val="007C05B6"/>
    <w:rsid w:val="007D1448"/>
    <w:rsid w:val="007E0BF2"/>
    <w:rsid w:val="007E7CA2"/>
    <w:rsid w:val="00817027"/>
    <w:rsid w:val="0081771A"/>
    <w:rsid w:val="00817BDE"/>
    <w:rsid w:val="0084500A"/>
    <w:rsid w:val="008523AF"/>
    <w:rsid w:val="008564CC"/>
    <w:rsid w:val="008900A7"/>
    <w:rsid w:val="0089218A"/>
    <w:rsid w:val="008C2420"/>
    <w:rsid w:val="008D6594"/>
    <w:rsid w:val="008E5B8C"/>
    <w:rsid w:val="008E6A96"/>
    <w:rsid w:val="008E7CC4"/>
    <w:rsid w:val="00901FAB"/>
    <w:rsid w:val="00944220"/>
    <w:rsid w:val="009621F5"/>
    <w:rsid w:val="00964719"/>
    <w:rsid w:val="00983A13"/>
    <w:rsid w:val="00991BC1"/>
    <w:rsid w:val="009952BF"/>
    <w:rsid w:val="009958CF"/>
    <w:rsid w:val="009A26C7"/>
    <w:rsid w:val="009A51E1"/>
    <w:rsid w:val="00A17091"/>
    <w:rsid w:val="00A27464"/>
    <w:rsid w:val="00A43D91"/>
    <w:rsid w:val="00A45B14"/>
    <w:rsid w:val="00A57B6D"/>
    <w:rsid w:val="00A6420F"/>
    <w:rsid w:val="00A66A5A"/>
    <w:rsid w:val="00A70918"/>
    <w:rsid w:val="00A710D0"/>
    <w:rsid w:val="00A805DD"/>
    <w:rsid w:val="00A80DCB"/>
    <w:rsid w:val="00AA6F2C"/>
    <w:rsid w:val="00AA736B"/>
    <w:rsid w:val="00AB3488"/>
    <w:rsid w:val="00AB4DA5"/>
    <w:rsid w:val="00AD2A80"/>
    <w:rsid w:val="00B12E4A"/>
    <w:rsid w:val="00B219CA"/>
    <w:rsid w:val="00B55FD0"/>
    <w:rsid w:val="00B60848"/>
    <w:rsid w:val="00B71B3C"/>
    <w:rsid w:val="00B76189"/>
    <w:rsid w:val="00B84B58"/>
    <w:rsid w:val="00B90E63"/>
    <w:rsid w:val="00B92D32"/>
    <w:rsid w:val="00BA2B55"/>
    <w:rsid w:val="00BA44E0"/>
    <w:rsid w:val="00BC48F2"/>
    <w:rsid w:val="00BE2CC1"/>
    <w:rsid w:val="00BF53EB"/>
    <w:rsid w:val="00C01EDD"/>
    <w:rsid w:val="00C32039"/>
    <w:rsid w:val="00C71C2F"/>
    <w:rsid w:val="00C7535B"/>
    <w:rsid w:val="00C80DD0"/>
    <w:rsid w:val="00D12041"/>
    <w:rsid w:val="00D609F1"/>
    <w:rsid w:val="00D858B5"/>
    <w:rsid w:val="00DD3CDE"/>
    <w:rsid w:val="00DF55B0"/>
    <w:rsid w:val="00E03C71"/>
    <w:rsid w:val="00E35067"/>
    <w:rsid w:val="00E37FA7"/>
    <w:rsid w:val="00E40A0C"/>
    <w:rsid w:val="00E51520"/>
    <w:rsid w:val="00E66264"/>
    <w:rsid w:val="00E75867"/>
    <w:rsid w:val="00EE795F"/>
    <w:rsid w:val="00F342CE"/>
    <w:rsid w:val="00F9096A"/>
    <w:rsid w:val="00FA2613"/>
    <w:rsid w:val="00FD47CF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A17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A17091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A1709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A17091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A17091"/>
  </w:style>
  <w:style w:type="paragraph" w:styleId="a4">
    <w:name w:val="List Paragraph"/>
    <w:basedOn w:val="a"/>
    <w:link w:val="a5"/>
    <w:uiPriority w:val="99"/>
    <w:qFormat/>
    <w:rsid w:val="00A1709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17091"/>
  </w:style>
  <w:style w:type="paragraph" w:styleId="a0">
    <w:name w:val="Body Text Indent"/>
    <w:basedOn w:val="a"/>
    <w:link w:val="a6"/>
    <w:unhideWhenUsed/>
    <w:rsid w:val="00A17091"/>
    <w:pPr>
      <w:spacing w:after="120"/>
      <w:ind w:left="283"/>
    </w:pPr>
    <w:rPr>
      <w:rFonts w:eastAsia="Times New Roman" w:cs="Times New Roman"/>
    </w:rPr>
  </w:style>
  <w:style w:type="character" w:customStyle="1" w:styleId="a6">
    <w:name w:val="Основной текст с отступом Знак"/>
    <w:basedOn w:val="a1"/>
    <w:link w:val="a0"/>
    <w:rsid w:val="00A17091"/>
    <w:rPr>
      <w:rFonts w:eastAsia="Times New Roman" w:cs="Times New Roman"/>
    </w:rPr>
  </w:style>
  <w:style w:type="table" w:styleId="a7">
    <w:name w:val="Table Grid"/>
    <w:basedOn w:val="a2"/>
    <w:uiPriority w:val="59"/>
    <w:rsid w:val="00A1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70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A17091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A170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A17091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170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7091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3"/>
    <w:uiPriority w:val="99"/>
    <w:semiHidden/>
    <w:unhideWhenUsed/>
    <w:rsid w:val="00A17091"/>
  </w:style>
  <w:style w:type="table" w:customStyle="1" w:styleId="12">
    <w:name w:val="Сетка таблицы1"/>
    <w:basedOn w:val="a2"/>
    <w:next w:val="a7"/>
    <w:uiPriority w:val="59"/>
    <w:rsid w:val="00A1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1709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A1709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17091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A17091"/>
    <w:pPr>
      <w:tabs>
        <w:tab w:val="left" w:pos="709"/>
        <w:tab w:val="right" w:leader="dot" w:pos="9627"/>
      </w:tabs>
      <w:spacing w:after="100"/>
      <w:ind w:left="220"/>
    </w:pPr>
    <w:rPr>
      <w:rFonts w:eastAsia="Times New Roman" w:cs="Times New Roman"/>
    </w:rPr>
  </w:style>
  <w:style w:type="character" w:styleId="af0">
    <w:name w:val="Hyperlink"/>
    <w:basedOn w:val="a1"/>
    <w:uiPriority w:val="99"/>
    <w:unhideWhenUsed/>
    <w:rsid w:val="00A17091"/>
    <w:rPr>
      <w:color w:val="5F5F5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A1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A1709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A17091"/>
  </w:style>
  <w:style w:type="paragraph" w:customStyle="1" w:styleId="ConsPlusNormal">
    <w:name w:val="ConsPlusNormal"/>
    <w:rsid w:val="00A170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A1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A17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A17091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A17091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A170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A17091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A1709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A17091"/>
    <w:pPr>
      <w:numPr>
        <w:ilvl w:val="1"/>
      </w:numPr>
      <w:spacing w:after="0" w:line="240" w:lineRule="auto"/>
    </w:pPr>
    <w:rPr>
      <w:rFonts w:asciiTheme="majorHAnsi" w:eastAsiaTheme="majorEastAsia" w:hAnsiTheme="majorHAnsi" w:cs="Times New Roman"/>
      <w:i/>
      <w:iCs/>
      <w:color w:val="DDDDD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A17091"/>
    <w:rPr>
      <w:rFonts w:asciiTheme="majorHAnsi" w:eastAsiaTheme="majorEastAsia" w:hAnsiTheme="majorHAnsi" w:cs="Times New Roman"/>
      <w:i/>
      <w:iCs/>
      <w:color w:val="DDDDDD" w:themeColor="accent1"/>
      <w:spacing w:val="15"/>
      <w:sz w:val="24"/>
      <w:szCs w:val="24"/>
      <w:lang w:eastAsia="ru-RU"/>
    </w:rPr>
  </w:style>
  <w:style w:type="table" w:customStyle="1" w:styleId="111">
    <w:name w:val="Сетка таблицы11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A1709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A17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A170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A1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7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70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A17091"/>
  </w:style>
  <w:style w:type="character" w:styleId="afb">
    <w:name w:val="Emphasis"/>
    <w:basedOn w:val="a1"/>
    <w:uiPriority w:val="20"/>
    <w:qFormat/>
    <w:rsid w:val="00A17091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A17091"/>
  </w:style>
  <w:style w:type="table" w:customStyle="1" w:styleId="5">
    <w:name w:val="Сетка таблицы5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A17091"/>
    <w:rPr>
      <w:color w:val="919191" w:themeColor="followedHyperlink"/>
      <w:u w:val="single"/>
    </w:rPr>
  </w:style>
  <w:style w:type="paragraph" w:customStyle="1" w:styleId="consplusnormal0">
    <w:name w:val="consplusnormal"/>
    <w:basedOn w:val="a"/>
    <w:rsid w:val="0055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54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A17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A17091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A1709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A17091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A17091"/>
  </w:style>
  <w:style w:type="paragraph" w:styleId="a4">
    <w:name w:val="List Paragraph"/>
    <w:basedOn w:val="a"/>
    <w:link w:val="a5"/>
    <w:uiPriority w:val="99"/>
    <w:qFormat/>
    <w:rsid w:val="00A1709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17091"/>
  </w:style>
  <w:style w:type="paragraph" w:styleId="a0">
    <w:name w:val="Body Text Indent"/>
    <w:basedOn w:val="a"/>
    <w:link w:val="a6"/>
    <w:unhideWhenUsed/>
    <w:rsid w:val="00A17091"/>
    <w:pPr>
      <w:spacing w:after="120"/>
      <w:ind w:left="283"/>
    </w:pPr>
    <w:rPr>
      <w:rFonts w:eastAsia="Times New Roman" w:cs="Times New Roman"/>
    </w:rPr>
  </w:style>
  <w:style w:type="character" w:customStyle="1" w:styleId="a6">
    <w:name w:val="Основной текст с отступом Знак"/>
    <w:basedOn w:val="a1"/>
    <w:link w:val="a0"/>
    <w:rsid w:val="00A17091"/>
    <w:rPr>
      <w:rFonts w:eastAsia="Times New Roman" w:cs="Times New Roman"/>
    </w:rPr>
  </w:style>
  <w:style w:type="table" w:styleId="a7">
    <w:name w:val="Table Grid"/>
    <w:basedOn w:val="a2"/>
    <w:uiPriority w:val="59"/>
    <w:rsid w:val="00A1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70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A17091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A170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A17091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170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7091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3"/>
    <w:uiPriority w:val="99"/>
    <w:semiHidden/>
    <w:unhideWhenUsed/>
    <w:rsid w:val="00A17091"/>
  </w:style>
  <w:style w:type="table" w:customStyle="1" w:styleId="12">
    <w:name w:val="Сетка таблицы1"/>
    <w:basedOn w:val="a2"/>
    <w:next w:val="a7"/>
    <w:uiPriority w:val="59"/>
    <w:rsid w:val="00A1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1709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A1709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17091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A17091"/>
    <w:pPr>
      <w:tabs>
        <w:tab w:val="left" w:pos="709"/>
        <w:tab w:val="right" w:leader="dot" w:pos="9627"/>
      </w:tabs>
      <w:spacing w:after="100"/>
      <w:ind w:left="220"/>
    </w:pPr>
    <w:rPr>
      <w:rFonts w:eastAsia="Times New Roman" w:cs="Times New Roman"/>
    </w:rPr>
  </w:style>
  <w:style w:type="character" w:styleId="af0">
    <w:name w:val="Hyperlink"/>
    <w:basedOn w:val="a1"/>
    <w:uiPriority w:val="99"/>
    <w:unhideWhenUsed/>
    <w:rsid w:val="00A17091"/>
    <w:rPr>
      <w:color w:val="5F5F5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A1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A1709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A17091"/>
  </w:style>
  <w:style w:type="paragraph" w:customStyle="1" w:styleId="ConsPlusNormal">
    <w:name w:val="ConsPlusNormal"/>
    <w:rsid w:val="00A170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A1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A17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A17091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A17091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A170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A17091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A1709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A17091"/>
    <w:pPr>
      <w:numPr>
        <w:ilvl w:val="1"/>
      </w:numPr>
      <w:spacing w:after="0" w:line="240" w:lineRule="auto"/>
    </w:pPr>
    <w:rPr>
      <w:rFonts w:asciiTheme="majorHAnsi" w:eastAsiaTheme="majorEastAsia" w:hAnsiTheme="majorHAnsi" w:cs="Times New Roman"/>
      <w:i/>
      <w:iCs/>
      <w:color w:val="DDDDD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A17091"/>
    <w:rPr>
      <w:rFonts w:asciiTheme="majorHAnsi" w:eastAsiaTheme="majorEastAsia" w:hAnsiTheme="majorHAnsi" w:cs="Times New Roman"/>
      <w:i/>
      <w:iCs/>
      <w:color w:val="DDDDDD" w:themeColor="accent1"/>
      <w:spacing w:val="15"/>
      <w:sz w:val="24"/>
      <w:szCs w:val="24"/>
      <w:lang w:eastAsia="ru-RU"/>
    </w:rPr>
  </w:style>
  <w:style w:type="table" w:customStyle="1" w:styleId="111">
    <w:name w:val="Сетка таблицы11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A1709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A17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A170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A1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7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70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A17091"/>
  </w:style>
  <w:style w:type="character" w:styleId="afb">
    <w:name w:val="Emphasis"/>
    <w:basedOn w:val="a1"/>
    <w:uiPriority w:val="20"/>
    <w:qFormat/>
    <w:rsid w:val="00A17091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A17091"/>
  </w:style>
  <w:style w:type="table" w:customStyle="1" w:styleId="5">
    <w:name w:val="Сетка таблицы5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A17091"/>
    <w:rPr>
      <w:color w:val="919191" w:themeColor="followedHyperlink"/>
      <w:u w:val="single"/>
    </w:rPr>
  </w:style>
  <w:style w:type="paragraph" w:customStyle="1" w:styleId="consplusnormal0">
    <w:name w:val="consplusnormal"/>
    <w:basedOn w:val="a"/>
    <w:rsid w:val="0055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5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&#1086;&#1078;&#1077;&#1085;&#1080;&#1077;%205.xlsx" TargetMode="External"/><Relationship Id="rId18" Type="http://schemas.openxmlformats.org/officeDocument/2006/relationships/hyperlink" Target="&#1055;&#1088;&#1080;&#1083;&#1086;&#1078;&#1077;&#1085;&#1080;&#1077;%205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&#1055;&#1088;&#1080;&#1083;&#1086;&#1078;&#1077;&#1085;&#1080;&#1077;%204.xlsx" TargetMode="External"/><Relationship Id="rId17" Type="http://schemas.openxmlformats.org/officeDocument/2006/relationships/hyperlink" Target="&#1055;&#1088;&#1080;&#1083;&#1086;&#1078;&#1077;&#1085;&#1080;&#1077;%204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3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3.docx" TargetMode="External"/><Relationship Id="rId5" Type="http://schemas.openxmlformats.org/officeDocument/2006/relationships/settings" Target="settings.xml"/><Relationship Id="rId15" Type="http://schemas.openxmlformats.org/officeDocument/2006/relationships/hyperlink" Target="&#1055;&#1088;&#1080;&#1083;&#1086;&#1078;&#1077;&#1085;&#1080;&#1077;%202.docx" TargetMode="External"/><Relationship Id="rId10" Type="http://schemas.openxmlformats.org/officeDocument/2006/relationships/hyperlink" Target="&#1055;&#1088;&#1080;&#1083;%202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077;%201.docx" TargetMode="External"/><Relationship Id="rId14" Type="http://schemas.openxmlformats.org/officeDocument/2006/relationships/hyperlink" Target="&#1055;&#1088;&#1080;&#1083;&#1086;&#1078;&#1077;&#1085;&#1080;&#1077;%20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D7AA-5CDB-4D6D-BAEB-5AB21566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Кузаков </cp:lastModifiedBy>
  <cp:revision>55</cp:revision>
  <cp:lastPrinted>2018-11-22T07:03:00Z</cp:lastPrinted>
  <dcterms:created xsi:type="dcterms:W3CDTF">2016-07-11T04:12:00Z</dcterms:created>
  <dcterms:modified xsi:type="dcterms:W3CDTF">2018-12-14T02:05:00Z</dcterms:modified>
</cp:coreProperties>
</file>