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98" w:rsidRDefault="00EB3798" w:rsidP="00EB37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A95533">
        <w:rPr>
          <w:rFonts w:ascii="Times New Roman" w:hAnsi="Times New Roman"/>
          <w:sz w:val="24"/>
          <w:szCs w:val="24"/>
          <w:lang w:eastAsia="ru-RU"/>
        </w:rPr>
        <w:t>2</w:t>
      </w:r>
    </w:p>
    <w:p w:rsidR="009508CF" w:rsidRDefault="005B2291" w:rsidP="005B22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5B2291" w:rsidRPr="005B2291" w:rsidRDefault="005B2291" w:rsidP="005B22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 xml:space="preserve">«Социальное развитие </w:t>
      </w:r>
      <w:proofErr w:type="gramStart"/>
      <w:r w:rsidRPr="005B229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9508CF" w:rsidRDefault="005B2291" w:rsidP="005B22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B2291">
        <w:rPr>
          <w:rFonts w:ascii="Times New Roman" w:hAnsi="Times New Roman"/>
          <w:sz w:val="24"/>
          <w:szCs w:val="24"/>
          <w:lang w:eastAsia="ru-RU"/>
        </w:rPr>
        <w:t>образования «Катангский район»</w:t>
      </w:r>
    </w:p>
    <w:p w:rsidR="005B2291" w:rsidRPr="005B2291" w:rsidRDefault="005B2291" w:rsidP="005B22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291">
        <w:rPr>
          <w:rFonts w:ascii="Times New Roman" w:hAnsi="Times New Roman"/>
          <w:sz w:val="24"/>
          <w:szCs w:val="24"/>
          <w:lang w:eastAsia="ru-RU"/>
        </w:rPr>
        <w:t>на 2019 – 2024 годы»</w:t>
      </w:r>
    </w:p>
    <w:p w:rsidR="00EB3798" w:rsidRPr="00BD1E60" w:rsidRDefault="00EB3798" w:rsidP="00EB3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3798" w:rsidRPr="009508CF" w:rsidRDefault="00EB3798" w:rsidP="00EB37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508CF">
        <w:rPr>
          <w:rFonts w:ascii="Times New Roman" w:hAnsi="Times New Roman"/>
          <w:b/>
          <w:sz w:val="24"/>
          <w:szCs w:val="28"/>
          <w:lang w:eastAsia="ru-RU"/>
        </w:rPr>
        <w:t>Перечень основных мероприятий муниципальной программы</w:t>
      </w:r>
    </w:p>
    <w:p w:rsidR="00EB3798" w:rsidRPr="009508CF" w:rsidRDefault="00EB3798" w:rsidP="00EB3798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25"/>
        <w:gridCol w:w="426"/>
        <w:gridCol w:w="284"/>
        <w:gridCol w:w="4819"/>
        <w:gridCol w:w="3685"/>
        <w:gridCol w:w="1277"/>
        <w:gridCol w:w="2834"/>
        <w:gridCol w:w="1557"/>
      </w:tblGrid>
      <w:tr w:rsidR="009508CF" w:rsidRPr="002C4650" w:rsidTr="009508CF">
        <w:trPr>
          <w:trHeight w:val="20"/>
          <w:tblHeader/>
        </w:trPr>
        <w:tc>
          <w:tcPr>
            <w:tcW w:w="504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29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69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899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4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9508CF" w:rsidRPr="002C4650" w:rsidTr="009508CF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0" w:type="pct"/>
            <w:tcMar>
              <w:left w:w="28" w:type="dxa"/>
              <w:right w:w="28" w:type="dxa"/>
            </w:tcMar>
            <w:vAlign w:val="center"/>
            <w:hideMark/>
          </w:tcPr>
          <w:p w:rsidR="00EB3798" w:rsidRPr="009508CF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2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Mar>
              <w:left w:w="28" w:type="dxa"/>
              <w:right w:w="28" w:type="dxa"/>
            </w:tcMar>
          </w:tcPr>
          <w:p w:rsidR="00EB3798" w:rsidRPr="002C4650" w:rsidRDefault="00EB3798" w:rsidP="0095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7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9508CF" w:rsidRPr="009508CF" w:rsidRDefault="009508CF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</w:p>
          <w:p w:rsidR="00EB3798" w:rsidRPr="007A3BC6" w:rsidRDefault="009508CF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7A3BC6" w:rsidRPr="007A3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держка общественных организаций»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vAlign w:val="bottom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622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Организация и проведение информационно-пропагандистских мероприятий, направленных на интеграцию граждан старшего </w:t>
            </w:r>
            <w:r w:rsidR="009508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поколения в общественную жизнь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vAlign w:val="bottom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Интеграция граждан старшего поколения в общественную жизнь 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1387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EB3798" w:rsidRPr="002C4650" w:rsidRDefault="00EB3798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 от 06.10.2011 № 4/11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аппарата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201</w:t>
            </w:r>
            <w:r w:rsidR="007A3BC6">
              <w:rPr>
                <w:rFonts w:ascii="Times New Roman" w:hAnsi="Times New Roman"/>
                <w:sz w:val="20"/>
                <w:szCs w:val="20"/>
              </w:rPr>
              <w:t>9</w:t>
            </w:r>
            <w:r w:rsidRPr="002C4650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7A3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EB3798" w:rsidRPr="002C4650" w:rsidRDefault="00EB3798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.1.1.</w:t>
            </w:r>
          </w:p>
        </w:tc>
      </w:tr>
      <w:tr w:rsidR="009508CF" w:rsidRPr="002C4650" w:rsidTr="009508CF">
        <w:trPr>
          <w:trHeight w:val="812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hideMark/>
          </w:tcPr>
          <w:p w:rsidR="00FA0CFC" w:rsidRPr="002C4650" w:rsidRDefault="00EB3798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9508CF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3798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район»;</w:t>
            </w:r>
          </w:p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A0EA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тдел</w:t>
            </w:r>
            <w:r w:rsid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развитию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 w:rsid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2017 – 202</w:t>
            </w:r>
            <w:r w:rsidR="007A3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3798" w:rsidRPr="002C4650" w:rsidRDefault="00EB3798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.1.2.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7A3BC6" w:rsidRPr="007A3BC6" w:rsidRDefault="007A3BC6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3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7A3BC6" w:rsidRPr="002C4650" w:rsidRDefault="007A3BC6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7A3BC6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5119F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7A3BC6" w:rsidRPr="007A3BC6">
              <w:rPr>
                <w:rFonts w:ascii="Times New Roman" w:hAnsi="Times New Roman"/>
                <w:sz w:val="20"/>
                <w:szCs w:val="20"/>
                <w:lang w:eastAsia="ru-RU"/>
              </w:rPr>
              <w:t>на решение социально-значимых проблем.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201</w:t>
            </w:r>
            <w:r w:rsidR="007A3BC6">
              <w:rPr>
                <w:rFonts w:ascii="Times New Roman" w:hAnsi="Times New Roman"/>
                <w:sz w:val="20"/>
                <w:szCs w:val="20"/>
              </w:rPr>
              <w:t>9</w:t>
            </w:r>
            <w:r w:rsidRPr="002C4650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7A3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A9553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95533">
              <w:rPr>
                <w:rFonts w:ascii="Times New Roman" w:hAnsi="Times New Roman"/>
                <w:sz w:val="20"/>
                <w:szCs w:val="20"/>
                <w:lang w:eastAsia="ru-RU"/>
              </w:rPr>
              <w:t>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.1.3.</w:t>
            </w:r>
          </w:p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center"/>
          </w:tcPr>
          <w:p w:rsidR="009508CF" w:rsidRDefault="009508CF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B3798" w:rsidRPr="009508CF" w:rsidRDefault="009508CF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EB3798" w:rsidRPr="002C46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Доступная среда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EB3798" w:rsidRPr="007A3BC6" w:rsidRDefault="00EB379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3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район»;</w:t>
            </w:r>
          </w:p>
          <w:p w:rsidR="00EB3798" w:rsidRPr="002C4650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DA0EA5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отдел по развитию  культуры, молодёжной политике и спорту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A0EA5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EB3798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3798" w:rsidRPr="002C4650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</w:t>
            </w:r>
            <w:r w:rsidR="00EB3798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3798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201</w:t>
            </w:r>
            <w:r w:rsidR="007A3BC6">
              <w:rPr>
                <w:rFonts w:ascii="Times New Roman" w:hAnsi="Times New Roman"/>
                <w:sz w:val="20"/>
                <w:szCs w:val="20"/>
              </w:rPr>
              <w:t>9</w:t>
            </w:r>
            <w:r w:rsidRPr="002C4650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7A3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район».</w:t>
            </w:r>
          </w:p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.3.1.</w:t>
            </w:r>
          </w:p>
        </w:tc>
      </w:tr>
      <w:tr w:rsidR="009508CF" w:rsidRPr="002C4650" w:rsidTr="009508CF">
        <w:trPr>
          <w:trHeight w:val="918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5119F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5119F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119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center"/>
          </w:tcPr>
          <w:p w:rsidR="00FA0CFC" w:rsidRPr="007A3BC6" w:rsidRDefault="00EB379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3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50">
              <w:rPr>
                <w:rFonts w:ascii="Times New Roman" w:hAnsi="Times New Roman"/>
                <w:sz w:val="20"/>
                <w:szCs w:val="20"/>
              </w:rPr>
              <w:t>201</w:t>
            </w:r>
            <w:r w:rsidR="007A3BC6">
              <w:rPr>
                <w:rFonts w:ascii="Times New Roman" w:hAnsi="Times New Roman"/>
                <w:sz w:val="20"/>
                <w:szCs w:val="20"/>
              </w:rPr>
              <w:t>9</w:t>
            </w:r>
            <w:r w:rsidRPr="002C4650">
              <w:rPr>
                <w:rFonts w:ascii="Times New Roman" w:hAnsi="Times New Roman"/>
                <w:sz w:val="20"/>
                <w:szCs w:val="20"/>
              </w:rPr>
              <w:t xml:space="preserve"> – 20</w:t>
            </w:r>
            <w:r w:rsidR="007A3B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hideMark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B3798" w:rsidRPr="002C4650" w:rsidRDefault="00EB379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.3.</w:t>
            </w:r>
            <w:r w:rsidR="007A3BC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7A3BC6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7A3BC6" w:rsidRDefault="007A3BC6" w:rsidP="009508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:rsidR="007A3BC6" w:rsidRPr="009370F3" w:rsidRDefault="009508CF" w:rsidP="009508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7A3BC6" w:rsidRPr="009370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 социально-негативных явлений»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7A3BC6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3586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906C88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906C88" w:rsidRPr="009370F3" w:rsidRDefault="00906C8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</w:t>
            </w:r>
            <w:r w:rsidR="005119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профилактике правонарушений, преступлений, терроризма, экстремизма и укрепления межнационального и межконфессионального согласи</w:t>
            </w:r>
            <w:r w:rsidR="005119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я</w:t>
            </w: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, семейного благополучия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9508CF" w:rsidRPr="002C4650" w:rsidRDefault="00FA0CFC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65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5D5653" w:rsidRP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образования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район»,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Катангская</w:t>
            </w:r>
            <w:proofErr w:type="spellEnd"/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РБ»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 полиции (дислокация с. </w:t>
            </w:r>
            <w:proofErr w:type="spellStart"/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Ербогачён</w:t>
            </w:r>
            <w:proofErr w:type="spellEnd"/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) МО МВД «Киренский» »,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развитию культуры, молодёжной политике и спорту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дминистрации поселений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906C88" w:rsidRDefault="00906C88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906C88" w:rsidRPr="002C4650" w:rsidRDefault="009338AA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 направленности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906C88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06.4.1.</w:t>
            </w:r>
          </w:p>
        </w:tc>
      </w:tr>
      <w:tr w:rsidR="009508CF" w:rsidRPr="002C4650" w:rsidTr="009508CF">
        <w:trPr>
          <w:trHeight w:val="267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DA0EA5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DA0EA5" w:rsidRPr="009370F3" w:rsidRDefault="00DA0EA5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B04317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МО «Катангский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FA0CF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развитию </w:t>
            </w:r>
            <w:r w:rsidR="00B04317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культуры, молодёжной политике и спорту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04317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D565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5D5653" w:rsidRP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864E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DA0EA5" w:rsidRDefault="00DA0EA5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 w:val="restart"/>
            <w:noWrap/>
            <w:tcMar>
              <w:left w:w="28" w:type="dxa"/>
              <w:right w:w="28" w:type="dxa"/>
            </w:tcMar>
          </w:tcPr>
          <w:p w:rsidR="00DA0EA5" w:rsidRPr="009338AA" w:rsidRDefault="00DA0EA5" w:rsidP="009508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8AA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DA0EA5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06.4.1.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DA0EA5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DA0EA5" w:rsidRPr="009370F3" w:rsidRDefault="00DA0EA5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</w:t>
            </w:r>
            <w:proofErr w:type="spellStart"/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DA0EA5" w:rsidRPr="00FA0CFC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04317" w:rsidRPr="00FA0CFC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Киренский МФ ФКУ УИИ ГУФСИН России по Иркутской области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DA0EA5" w:rsidRDefault="00DA0EA5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DA0EA5" w:rsidRDefault="00DA0EA5" w:rsidP="009508CF">
            <w:pPr>
              <w:spacing w:after="0" w:line="240" w:lineRule="auto"/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DA0EA5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06.4..2.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DA0EA5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DA0EA5" w:rsidRPr="009370F3" w:rsidRDefault="00DA0EA5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DA0EA5" w:rsidRPr="002C4650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="00DA0EA5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по развитию  культуры, молодёжной политике и спорту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A0EA5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864E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Катангская</w:t>
            </w:r>
            <w:proofErr w:type="spellEnd"/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РБ» (по согласованию)</w:t>
            </w:r>
            <w:r w:rsid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DA0EA5" w:rsidRDefault="00DA0EA5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DA0EA5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664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DA0EA5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DA0EA5" w:rsidRPr="009370F3" w:rsidRDefault="00DA0EA5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DA0EA5" w:rsidRPr="002C4650" w:rsidRDefault="0023461B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Катангская</w:t>
            </w:r>
            <w:proofErr w:type="spellEnd"/>
            <w:r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РБ»</w:t>
            </w:r>
            <w:r w:rsid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согласованию),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65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по развитию  культуры, молодёжной политике и спорту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A0CFC" w:rsidRPr="00FA0CFC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FA0C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DA0EA5" w:rsidRDefault="00DA0EA5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 w:val="restart"/>
            <w:noWrap/>
            <w:tcMar>
              <w:left w:w="28" w:type="dxa"/>
              <w:right w:w="28" w:type="dxa"/>
            </w:tcMar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DA0EA5" w:rsidRDefault="00204C7D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06.4.6</w:t>
            </w:r>
            <w:r w:rsidRPr="00204C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8CF" w:rsidRPr="002C4650" w:rsidTr="009508CF">
        <w:trPr>
          <w:trHeight w:val="1539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DA0EA5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DA0EA5" w:rsidRPr="009370F3" w:rsidRDefault="00DA0EA5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DA0EA5" w:rsidRPr="00812124" w:rsidRDefault="0023461B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Катангская</w:t>
            </w:r>
            <w:proofErr w:type="spell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РБ»</w:t>
            </w:r>
            <w:r w:rsidR="00812124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DA0EA5" w:rsidRPr="002C4650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</w:t>
            </w:r>
            <w:r w:rsidR="0023461B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развитию культуры, молодёжной политике и спорту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461B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DA0EA5" w:rsidRDefault="00DA0EA5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DA0EA5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DA0EA5" w:rsidRDefault="00204C7D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06.4.7</w:t>
            </w:r>
            <w:r w:rsidRPr="00204C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8CF" w:rsidRPr="002C4650" w:rsidTr="009508CF">
        <w:trPr>
          <w:trHeight w:val="769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E4262A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4262A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E4262A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E4262A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E4262A" w:rsidRPr="009370F3" w:rsidRDefault="00E4262A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B04317" w:rsidRPr="002C4650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E4262A" w:rsidRDefault="00E4262A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 w:val="restart"/>
            <w:noWrap/>
            <w:tcMar>
              <w:left w:w="28" w:type="dxa"/>
              <w:right w:w="28" w:type="dxa"/>
            </w:tcMar>
          </w:tcPr>
          <w:p w:rsidR="00E4262A" w:rsidRPr="00E4262A" w:rsidRDefault="002E6A8E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A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количества несовершеннолетних и </w:t>
            </w:r>
            <w:proofErr w:type="gramStart"/>
            <w:r w:rsidRPr="002E6A8E">
              <w:rPr>
                <w:rFonts w:ascii="Times New Roman" w:hAnsi="Times New Roman"/>
                <w:sz w:val="20"/>
                <w:szCs w:val="20"/>
                <w:lang w:eastAsia="ru-RU"/>
              </w:rPr>
              <w:t>семей</w:t>
            </w:r>
            <w:proofErr w:type="gramEnd"/>
            <w:r w:rsidRPr="002E6A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состоящих на учете в банке данных Иркутской области СОП</w:t>
            </w:r>
            <w:r w:rsidR="00E4262A"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4262A" w:rsidRPr="002C4650" w:rsidRDefault="00E4262A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количества случаев лишения законных представителей несовершеннолетних родительских прав</w:t>
            </w:r>
            <w:proofErr w:type="gramEnd"/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E4262A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06.4.3.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244A44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bottom"/>
          </w:tcPr>
          <w:p w:rsidR="00244A44" w:rsidRPr="009370F3" w:rsidRDefault="00244A44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244A44" w:rsidRPr="00812124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  <w:r w:rsidR="00812124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B04317" w:rsidRPr="00812124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</w:t>
            </w:r>
            <w:r w:rsidR="00812124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2124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район»,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244A44" w:rsidRDefault="00244A44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244A44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06.4.4.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244A44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bottom"/>
          </w:tcPr>
          <w:p w:rsidR="00244A44" w:rsidRPr="009370F3" w:rsidRDefault="00244A44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244A44" w:rsidRPr="00812124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 (дислокация </w:t>
            </w:r>
            <w:proofErr w:type="spell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рбогачен</w:t>
            </w:r>
            <w:proofErr w:type="spell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) МО МВД России «Киренский»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244A44" w:rsidRDefault="00244A44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244A44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06.4.5.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244A44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244A44" w:rsidRPr="009370F3" w:rsidRDefault="00244A44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244A44" w:rsidRPr="00812124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="00B04317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по развитию  культуры, молодёжной политике и спорту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«Катангский район», </w:t>
            </w:r>
          </w:p>
          <w:p w:rsidR="00B04317" w:rsidRPr="00B04317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</w:t>
            </w:r>
            <w:proofErr w:type="gram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Иркутской области №1 по </w:t>
            </w:r>
            <w:proofErr w:type="spell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244A44" w:rsidRDefault="00244A44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244A44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239">
              <w:rPr>
                <w:rFonts w:ascii="Times New Roman" w:hAnsi="Times New Roman"/>
                <w:sz w:val="20"/>
                <w:szCs w:val="20"/>
                <w:lang w:eastAsia="ru-RU"/>
              </w:rPr>
              <w:t>06.4.5.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244A44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244A44" w:rsidRPr="009370F3" w:rsidRDefault="00244A44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244A44" w:rsidRPr="00812124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</w:t>
            </w:r>
            <w:proofErr w:type="gram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Иркутской области №1 по </w:t>
            </w:r>
            <w:proofErr w:type="spellStart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</w:t>
            </w:r>
            <w:r w:rsidR="00812124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2124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244A44" w:rsidRDefault="00244A44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244A44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239">
              <w:rPr>
                <w:rFonts w:ascii="Times New Roman" w:hAnsi="Times New Roman"/>
                <w:sz w:val="20"/>
                <w:szCs w:val="20"/>
                <w:lang w:eastAsia="ru-RU"/>
              </w:rPr>
              <w:t>06.4.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562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244A44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244A44" w:rsidRPr="009370F3" w:rsidRDefault="00244A44" w:rsidP="009508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244A44" w:rsidRPr="00812124" w:rsidRDefault="00B04317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244A44" w:rsidRDefault="00244A44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vMerge/>
            <w:noWrap/>
            <w:tcMar>
              <w:left w:w="28" w:type="dxa"/>
              <w:right w:w="28" w:type="dxa"/>
            </w:tcMar>
          </w:tcPr>
          <w:p w:rsidR="00244A44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244A44" w:rsidRDefault="00156239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06.4.4.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906C88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bottom"/>
          </w:tcPr>
          <w:p w:rsidR="00906C88" w:rsidRPr="009370F3" w:rsidRDefault="00906C8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906C88" w:rsidRPr="002C4650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906C88" w:rsidRDefault="00906C88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906C88" w:rsidRPr="002C4650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906C88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2C4650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906C88" w:rsidRDefault="00244A44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bottom"/>
          </w:tcPr>
          <w:p w:rsidR="00906C88" w:rsidRPr="009370F3" w:rsidRDefault="009508CF" w:rsidP="00950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</w:t>
            </w:r>
            <w:r w:rsidR="00906C88" w:rsidRPr="009370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906C88" w:rsidRPr="002C4650" w:rsidRDefault="00DA0EA5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0EA5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906C88" w:rsidRDefault="00906C88" w:rsidP="009508CF">
            <w:pPr>
              <w:spacing w:after="0" w:line="240" w:lineRule="auto"/>
              <w:jc w:val="center"/>
            </w:pPr>
            <w:r w:rsidRPr="008479EC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906C88" w:rsidRPr="002C4650" w:rsidRDefault="00E4262A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62A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906C88" w:rsidRDefault="00204C7D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06.4.8</w:t>
            </w:r>
            <w:r w:rsidR="00DA0EA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  <w:vAlign w:val="center"/>
          </w:tcPr>
          <w:p w:rsidR="009508CF" w:rsidRDefault="00906C8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4</w:t>
            </w:r>
          </w:p>
          <w:p w:rsidR="007A3BC6" w:rsidRPr="007A3BC6" w:rsidRDefault="00906C88" w:rsidP="00950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6C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</w:tcPr>
          <w:p w:rsidR="007A3BC6" w:rsidRPr="002C4650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7A3BC6" w:rsidRDefault="007A3BC6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906C88" w:rsidRPr="00812124" w:rsidRDefault="00906C88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  <w:p w:rsidR="00906C88" w:rsidRPr="00812124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06.5.1.</w:t>
            </w:r>
          </w:p>
        </w:tc>
      </w:tr>
      <w:tr w:rsidR="009508CF" w:rsidRPr="002C4650" w:rsidTr="009508CF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5119F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5119F9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119F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29" w:type="pct"/>
            <w:noWrap/>
            <w:tcMar>
              <w:left w:w="28" w:type="dxa"/>
              <w:right w:w="28" w:type="dxa"/>
            </w:tcMar>
          </w:tcPr>
          <w:p w:rsidR="00906C88" w:rsidRPr="00812124" w:rsidRDefault="00906C88" w:rsidP="00950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1169" w:type="pct"/>
            <w:noWrap/>
            <w:tcMar>
              <w:left w:w="28" w:type="dxa"/>
              <w:right w:w="28" w:type="dxa"/>
            </w:tcMar>
          </w:tcPr>
          <w:p w:rsidR="00906C88" w:rsidRPr="00812124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</w:t>
            </w:r>
            <w:r w:rsidR="00906C88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 культуры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6C88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район»;</w:t>
            </w:r>
          </w:p>
          <w:p w:rsidR="00906C88" w:rsidRPr="00812124" w:rsidRDefault="005D5653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D5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</w:t>
            </w:r>
            <w:r w:rsidR="00906C88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r w:rsidR="009508C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9508CF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6C88"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2019 – 2024</w:t>
            </w:r>
          </w:p>
        </w:tc>
        <w:tc>
          <w:tcPr>
            <w:tcW w:w="899" w:type="pct"/>
            <w:noWrap/>
            <w:tcMar>
              <w:left w:w="28" w:type="dxa"/>
              <w:right w:w="28" w:type="dxa"/>
            </w:tcMar>
            <w:vAlign w:val="center"/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906C88" w:rsidRPr="00812124" w:rsidRDefault="00906C88" w:rsidP="0095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  <w:lang w:eastAsia="ru-RU"/>
              </w:rPr>
              <w:t>06.5.2.</w:t>
            </w:r>
          </w:p>
        </w:tc>
      </w:tr>
    </w:tbl>
    <w:p w:rsidR="00EB3798" w:rsidRDefault="00EB3798" w:rsidP="00006B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B3798" w:rsidRDefault="00EB3798" w:rsidP="00006B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B3798" w:rsidRDefault="00EB3798" w:rsidP="00EB37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EB3798" w:rsidSect="009508C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9"/>
    <w:rsid w:val="00006B61"/>
    <w:rsid w:val="00156239"/>
    <w:rsid w:val="00204C7D"/>
    <w:rsid w:val="0023461B"/>
    <w:rsid w:val="00244A44"/>
    <w:rsid w:val="002E6A8E"/>
    <w:rsid w:val="003D361B"/>
    <w:rsid w:val="004318F9"/>
    <w:rsid w:val="004814D8"/>
    <w:rsid w:val="005119F9"/>
    <w:rsid w:val="005B2291"/>
    <w:rsid w:val="005D5653"/>
    <w:rsid w:val="00656948"/>
    <w:rsid w:val="006F4866"/>
    <w:rsid w:val="007938C4"/>
    <w:rsid w:val="007A3BC6"/>
    <w:rsid w:val="007B17DE"/>
    <w:rsid w:val="007B7AFE"/>
    <w:rsid w:val="00812124"/>
    <w:rsid w:val="0082213A"/>
    <w:rsid w:val="00864E8D"/>
    <w:rsid w:val="00906C88"/>
    <w:rsid w:val="009338AA"/>
    <w:rsid w:val="009508CF"/>
    <w:rsid w:val="00A62E09"/>
    <w:rsid w:val="00A95533"/>
    <w:rsid w:val="00B04317"/>
    <w:rsid w:val="00BF717E"/>
    <w:rsid w:val="00C51A7D"/>
    <w:rsid w:val="00DA0EA5"/>
    <w:rsid w:val="00E4262A"/>
    <w:rsid w:val="00EB3798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Кузаков </cp:lastModifiedBy>
  <cp:revision>21</cp:revision>
  <cp:lastPrinted>2018-12-07T09:11:00Z</cp:lastPrinted>
  <dcterms:created xsi:type="dcterms:W3CDTF">2018-11-14T00:14:00Z</dcterms:created>
  <dcterms:modified xsi:type="dcterms:W3CDTF">2018-12-13T03:20:00Z</dcterms:modified>
</cp:coreProperties>
</file>