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70" w:rsidRPr="00DA56AE" w:rsidRDefault="009C1570" w:rsidP="009C1570">
      <w:pPr>
        <w:ind w:left="935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1</w:t>
      </w:r>
      <w:r w:rsidRPr="00DA56A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br/>
      </w:r>
      <w:r w:rsidRPr="00DA56AE">
        <w:rPr>
          <w:rFonts w:eastAsia="Calibri"/>
          <w:sz w:val="24"/>
          <w:szCs w:val="24"/>
        </w:rPr>
        <w:t xml:space="preserve">к муниципальной программе </w:t>
      </w:r>
    </w:p>
    <w:p w:rsidR="009C1570" w:rsidRPr="00DA56AE" w:rsidRDefault="009C1570" w:rsidP="009C1570">
      <w:pPr>
        <w:ind w:left="9356"/>
        <w:rPr>
          <w:rFonts w:eastAsia="Calibri"/>
          <w:sz w:val="24"/>
          <w:szCs w:val="24"/>
        </w:rPr>
      </w:pPr>
      <w:r w:rsidRPr="00DA56AE">
        <w:rPr>
          <w:rFonts w:eastAsia="Calibri"/>
          <w:sz w:val="24"/>
          <w:szCs w:val="24"/>
        </w:rPr>
        <w:t xml:space="preserve">«Развитие системы образования </w:t>
      </w:r>
      <w:r>
        <w:rPr>
          <w:rFonts w:eastAsia="Calibri"/>
          <w:sz w:val="24"/>
          <w:szCs w:val="24"/>
        </w:rPr>
        <w:br/>
      </w:r>
      <w:r w:rsidRPr="00DA56AE">
        <w:rPr>
          <w:rFonts w:eastAsia="Calibri"/>
          <w:sz w:val="24"/>
          <w:szCs w:val="24"/>
        </w:rPr>
        <w:t xml:space="preserve">в Североуральском городском округе </w:t>
      </w:r>
      <w:r>
        <w:rPr>
          <w:rFonts w:eastAsia="Calibri"/>
          <w:sz w:val="24"/>
          <w:szCs w:val="24"/>
        </w:rPr>
        <w:br/>
      </w:r>
      <w:r w:rsidRPr="00DA56AE">
        <w:rPr>
          <w:rFonts w:eastAsia="Calibri"/>
          <w:sz w:val="24"/>
          <w:szCs w:val="24"/>
        </w:rPr>
        <w:t>до 2024 года»</w:t>
      </w:r>
    </w:p>
    <w:p w:rsidR="009C1570" w:rsidRDefault="009C1570" w:rsidP="009C1570">
      <w:pPr>
        <w:widowControl w:val="0"/>
        <w:spacing w:before="220"/>
        <w:ind w:firstLine="540"/>
        <w:jc w:val="center"/>
        <w:rPr>
          <w:sz w:val="24"/>
          <w:szCs w:val="24"/>
        </w:rPr>
      </w:pPr>
      <w:r w:rsidRPr="00AF46A9">
        <w:rPr>
          <w:sz w:val="24"/>
          <w:szCs w:val="24"/>
        </w:rPr>
        <w:t>ЦЕЛИ, ЗАДАЧИ И ЦЕЛЕВЫЕ ПО</w:t>
      </w:r>
      <w:r>
        <w:rPr>
          <w:sz w:val="24"/>
          <w:szCs w:val="24"/>
        </w:rPr>
        <w:t>КАЗАТЕЛИ РЕАЛИЗАЦИИ МУНИЦИПАЛЬ</w:t>
      </w:r>
      <w:r w:rsidRPr="00AF46A9">
        <w:rPr>
          <w:sz w:val="24"/>
          <w:szCs w:val="24"/>
        </w:rPr>
        <w:t xml:space="preserve">НОЙ ПРОГРАММЫ </w:t>
      </w:r>
      <w:r>
        <w:rPr>
          <w:sz w:val="24"/>
          <w:szCs w:val="24"/>
        </w:rPr>
        <w:t>СЕВЕРОУРАЛЬСКОГО ГОРОДСКОГО ОКРУГА</w:t>
      </w:r>
      <w:r w:rsidRPr="00AF46A9">
        <w:rPr>
          <w:sz w:val="24"/>
          <w:szCs w:val="24"/>
        </w:rPr>
        <w:t xml:space="preserve"> "РАЗВИТИЕ СИСТЕМЫ ОБРАЗОВАНИЯ В </w:t>
      </w:r>
      <w:r>
        <w:rPr>
          <w:sz w:val="24"/>
          <w:szCs w:val="24"/>
        </w:rPr>
        <w:t>СЕВЕРОУРАЛЬСКОМ ГОРОДСКОМ ОКРУГЕ</w:t>
      </w:r>
      <w:r w:rsidRPr="00AF46A9">
        <w:rPr>
          <w:sz w:val="24"/>
          <w:szCs w:val="24"/>
        </w:rPr>
        <w:t xml:space="preserve"> ДО 2024 ГОДА"</w:t>
      </w:r>
    </w:p>
    <w:p w:rsidR="009C1570" w:rsidRPr="00DA56AE" w:rsidRDefault="009C1570" w:rsidP="009C1570">
      <w:pPr>
        <w:widowControl w:val="0"/>
        <w:spacing w:before="220"/>
        <w:ind w:firstLine="540"/>
        <w:jc w:val="center"/>
        <w:rPr>
          <w:sz w:val="24"/>
          <w:szCs w:val="24"/>
        </w:rPr>
      </w:pPr>
    </w:p>
    <w:tbl>
      <w:tblPr>
        <w:tblW w:w="153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97"/>
        <w:gridCol w:w="1123"/>
        <w:gridCol w:w="1123"/>
        <w:gridCol w:w="1123"/>
        <w:gridCol w:w="1123"/>
        <w:gridCol w:w="1123"/>
        <w:gridCol w:w="1123"/>
        <w:gridCol w:w="1123"/>
        <w:gridCol w:w="3094"/>
      </w:tblGrid>
      <w:tr w:rsidR="009C1570" w:rsidRPr="00F66F3E" w:rsidTr="009C1570">
        <w:trPr>
          <w:trHeight w:val="1070"/>
        </w:trPr>
        <w:tc>
          <w:tcPr>
            <w:tcW w:w="993" w:type="dxa"/>
            <w:vMerge w:val="restart"/>
          </w:tcPr>
          <w:p w:rsidR="009C1570" w:rsidRPr="000F5B3B" w:rsidRDefault="009C1570" w:rsidP="000D6A20">
            <w:r w:rsidRPr="000F5B3B">
              <w:t>Номер строки</w:t>
            </w:r>
          </w:p>
        </w:tc>
        <w:tc>
          <w:tcPr>
            <w:tcW w:w="3397" w:type="dxa"/>
            <w:vMerge w:val="restart"/>
          </w:tcPr>
          <w:p w:rsidR="009C1570" w:rsidRPr="000F5B3B" w:rsidRDefault="009C1570" w:rsidP="000D6A20">
            <w:r w:rsidRPr="000F5B3B">
              <w:t>Наименование цели, задачи и целевого показателя</w:t>
            </w:r>
          </w:p>
        </w:tc>
        <w:tc>
          <w:tcPr>
            <w:tcW w:w="1123" w:type="dxa"/>
            <w:vMerge w:val="restart"/>
          </w:tcPr>
          <w:p w:rsidR="009C1570" w:rsidRPr="000F5B3B" w:rsidRDefault="009C1570" w:rsidP="000D6A20">
            <w:r w:rsidRPr="000F5B3B">
              <w:t>Единица измерения</w:t>
            </w:r>
          </w:p>
        </w:tc>
        <w:tc>
          <w:tcPr>
            <w:tcW w:w="6738" w:type="dxa"/>
            <w:gridSpan w:val="6"/>
          </w:tcPr>
          <w:p w:rsidR="009C1570" w:rsidRPr="000F5B3B" w:rsidRDefault="009C1570" w:rsidP="000D6A20">
            <w:r w:rsidRPr="000F5B3B">
              <w:t xml:space="preserve">Значение целевого показателя реализации </w:t>
            </w:r>
            <w:r>
              <w:t>муниципальной</w:t>
            </w:r>
            <w:r w:rsidRPr="000F5B3B">
              <w:t xml:space="preserve"> программы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0F5B3B">
              <w:t>Источник значений показателей</w:t>
            </w:r>
          </w:p>
        </w:tc>
      </w:tr>
      <w:tr w:rsidR="009C1570" w:rsidRPr="00F66F3E" w:rsidTr="009C1570">
        <w:tc>
          <w:tcPr>
            <w:tcW w:w="993" w:type="dxa"/>
            <w:vMerge/>
          </w:tcPr>
          <w:p w:rsidR="009C1570" w:rsidRPr="000F5B3B" w:rsidRDefault="009C1570" w:rsidP="000D6A20"/>
        </w:tc>
        <w:tc>
          <w:tcPr>
            <w:tcW w:w="3397" w:type="dxa"/>
            <w:vMerge/>
          </w:tcPr>
          <w:p w:rsidR="009C1570" w:rsidRPr="000F5B3B" w:rsidRDefault="009C1570" w:rsidP="000D6A20"/>
        </w:tc>
        <w:tc>
          <w:tcPr>
            <w:tcW w:w="1123" w:type="dxa"/>
            <w:vMerge/>
          </w:tcPr>
          <w:p w:rsidR="009C1570" w:rsidRPr="000F5B3B" w:rsidRDefault="009C1570" w:rsidP="000D6A20"/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2019 год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2020 год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2021 год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2022 год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2023 год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2024 год</w:t>
            </w:r>
          </w:p>
        </w:tc>
        <w:tc>
          <w:tcPr>
            <w:tcW w:w="3094" w:type="dxa"/>
          </w:tcPr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  <w:vAlign w:val="center"/>
          </w:tcPr>
          <w:p w:rsidR="009C1570" w:rsidRPr="000F5B3B" w:rsidRDefault="009C1570" w:rsidP="000D6A20">
            <w:pPr>
              <w:jc w:val="center"/>
            </w:pPr>
            <w:r w:rsidRPr="000F5B3B">
              <w:t>1</w:t>
            </w:r>
          </w:p>
        </w:tc>
        <w:tc>
          <w:tcPr>
            <w:tcW w:w="3397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3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4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5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6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7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8</w:t>
            </w:r>
          </w:p>
        </w:tc>
        <w:tc>
          <w:tcPr>
            <w:tcW w:w="1123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9</w:t>
            </w:r>
          </w:p>
        </w:tc>
        <w:tc>
          <w:tcPr>
            <w:tcW w:w="3094" w:type="dxa"/>
            <w:vAlign w:val="center"/>
          </w:tcPr>
          <w:p w:rsidR="009C1570" w:rsidRPr="000F5B3B" w:rsidRDefault="009C1570" w:rsidP="000D6A20">
            <w:pPr>
              <w:jc w:val="center"/>
            </w:pPr>
            <w:r>
              <w:t>10</w:t>
            </w:r>
          </w:p>
        </w:tc>
      </w:tr>
      <w:tr w:rsidR="009C1570" w:rsidRPr="00F66F3E" w:rsidTr="009C1570">
        <w:trPr>
          <w:trHeight w:val="228"/>
        </w:trPr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 w:rsidRPr="000F5B3B">
              <w:t>1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>Подпрограмма 1 "Качество образования как основа благополучия"</w:t>
            </w:r>
          </w:p>
        </w:tc>
      </w:tr>
      <w:tr w:rsidR="009C1570" w:rsidRPr="00F66F3E" w:rsidTr="009C1570">
        <w:trPr>
          <w:trHeight w:val="457"/>
        </w:trPr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 w:rsidRPr="000F5B3B">
              <w:t>2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>Цель 1 "Обеспечение доступности качественного образования, соответствующего требованиям инновационного социально-экономического развития Североуральского городского округа"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>Задача 1 "Создание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 и получения профессионального образования"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4</w:t>
            </w:r>
          </w:p>
        </w:tc>
        <w:tc>
          <w:tcPr>
            <w:tcW w:w="3397" w:type="dxa"/>
          </w:tcPr>
          <w:p w:rsidR="009C1570" w:rsidRDefault="009C1570" w:rsidP="000D6A20">
            <w:bookmarkStart w:id="0" w:name="P879"/>
            <w:bookmarkEnd w:id="0"/>
            <w:r>
              <w:t>Целевой показатель 1</w:t>
            </w:r>
          </w:p>
          <w:p w:rsidR="009C1570" w:rsidRPr="000F5B3B" w:rsidRDefault="009C1570" w:rsidP="000D6A20">
            <w:r w:rsidRPr="000F5B3B">
              <w:t xml:space="preserve">Доля общеобразовательных </w:t>
            </w:r>
            <w:r>
              <w:t>учреждений, перешедших на федеральные государственные образовательные</w:t>
            </w:r>
            <w:r w:rsidRPr="000F5B3B">
              <w:t xml:space="preserve"> стандарт</w:t>
            </w:r>
            <w:r>
              <w:t>ы</w:t>
            </w:r>
            <w:r w:rsidRPr="000F5B3B">
              <w:t xml:space="preserve"> общего образования, в общем количестве общеобразовательных </w:t>
            </w:r>
            <w:r>
              <w:t>учреждений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/>
        </w:tc>
        <w:tc>
          <w:tcPr>
            <w:tcW w:w="3094" w:type="dxa"/>
            <w:vMerge w:val="restart"/>
          </w:tcPr>
          <w:p w:rsidR="009C1570" w:rsidRPr="000F5B3B" w:rsidRDefault="009C1570" w:rsidP="000D6A20">
            <w:r w:rsidRPr="000F5B3B">
              <w:t xml:space="preserve">Федеральный </w:t>
            </w:r>
            <w:r w:rsidRPr="00814B31">
              <w:t>закон</w:t>
            </w:r>
            <w:r w:rsidRPr="000F5B3B">
              <w:t xml:space="preserve"> от 29 декабря 2012 года N 273-ФЗ "Об образовании в Российской Федерации" (далее - Федеральный закон от 29 декабря 2012 года N 273-ФЗ)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5</w:t>
            </w:r>
          </w:p>
        </w:tc>
        <w:tc>
          <w:tcPr>
            <w:tcW w:w="3397" w:type="dxa"/>
          </w:tcPr>
          <w:p w:rsidR="009C1570" w:rsidRPr="000F5B3B" w:rsidRDefault="009C1570" w:rsidP="000D6A20">
            <w:r>
              <w:t xml:space="preserve">7 класс 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2D5C37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6</w:t>
            </w:r>
          </w:p>
        </w:tc>
        <w:tc>
          <w:tcPr>
            <w:tcW w:w="3397" w:type="dxa"/>
          </w:tcPr>
          <w:p w:rsidR="009C1570" w:rsidRPr="000F5B3B" w:rsidRDefault="009C1570" w:rsidP="000D6A20">
            <w:r>
              <w:t>8 класс</w:t>
            </w:r>
          </w:p>
        </w:tc>
        <w:tc>
          <w:tcPr>
            <w:tcW w:w="1123" w:type="dxa"/>
          </w:tcPr>
          <w:p w:rsidR="009C1570" w:rsidRDefault="009C1570" w:rsidP="000D6A20">
            <w:r w:rsidRPr="00AA3B87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5253EE" w:rsidRDefault="009C1570" w:rsidP="000D6A20">
            <w:pPr>
              <w:rPr>
                <w:color w:val="000000"/>
              </w:rPr>
            </w:pPr>
            <w:r w:rsidRPr="005253EE">
              <w:rPr>
                <w:color w:val="000000"/>
              </w:rPr>
              <w:t>100,0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7</w:t>
            </w:r>
          </w:p>
        </w:tc>
        <w:tc>
          <w:tcPr>
            <w:tcW w:w="3397" w:type="dxa"/>
          </w:tcPr>
          <w:p w:rsidR="009C1570" w:rsidRPr="000F5B3B" w:rsidRDefault="009C1570" w:rsidP="000D6A20">
            <w:r>
              <w:t xml:space="preserve">9 класс </w:t>
            </w:r>
          </w:p>
        </w:tc>
        <w:tc>
          <w:tcPr>
            <w:tcW w:w="1123" w:type="dxa"/>
          </w:tcPr>
          <w:p w:rsidR="009C1570" w:rsidRDefault="009C1570" w:rsidP="000D6A20">
            <w:r w:rsidRPr="00AA3B87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5253EE" w:rsidRDefault="009C1570" w:rsidP="000D6A20">
            <w:pPr>
              <w:rPr>
                <w:color w:val="000000"/>
              </w:rPr>
            </w:pPr>
            <w:r w:rsidRPr="005253EE">
              <w:rPr>
                <w:color w:val="000000"/>
              </w:rPr>
              <w:t>100,0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8</w:t>
            </w:r>
          </w:p>
        </w:tc>
        <w:tc>
          <w:tcPr>
            <w:tcW w:w="3397" w:type="dxa"/>
          </w:tcPr>
          <w:p w:rsidR="009C1570" w:rsidRPr="000F5B3B" w:rsidRDefault="009C1570" w:rsidP="000D6A20">
            <w:r>
              <w:t xml:space="preserve">10 класс </w:t>
            </w:r>
          </w:p>
        </w:tc>
        <w:tc>
          <w:tcPr>
            <w:tcW w:w="1123" w:type="dxa"/>
          </w:tcPr>
          <w:p w:rsidR="009C1570" w:rsidRDefault="009C1570" w:rsidP="000D6A20">
            <w:r w:rsidRPr="00AA3B87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rPr>
          <w:trHeight w:val="458"/>
        </w:trPr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9</w:t>
            </w:r>
          </w:p>
        </w:tc>
        <w:tc>
          <w:tcPr>
            <w:tcW w:w="3397" w:type="dxa"/>
          </w:tcPr>
          <w:p w:rsidR="009C1570" w:rsidRPr="000F5B3B" w:rsidRDefault="009C1570" w:rsidP="000D6A20">
            <w:r>
              <w:t xml:space="preserve">11 класс </w:t>
            </w:r>
          </w:p>
        </w:tc>
        <w:tc>
          <w:tcPr>
            <w:tcW w:w="1123" w:type="dxa"/>
          </w:tcPr>
          <w:p w:rsidR="009C1570" w:rsidRDefault="009C1570" w:rsidP="000D6A20">
            <w:r w:rsidRPr="00AA3B87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rPr>
          <w:trHeight w:val="4569"/>
        </w:trPr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10</w:t>
            </w:r>
          </w:p>
        </w:tc>
        <w:tc>
          <w:tcPr>
            <w:tcW w:w="3397" w:type="dxa"/>
          </w:tcPr>
          <w:p w:rsidR="009C1570" w:rsidRDefault="009C1570" w:rsidP="000D6A20">
            <w:bookmarkStart w:id="1" w:name="P957"/>
            <w:bookmarkEnd w:id="1"/>
            <w:r w:rsidRPr="00B30526">
              <w:t xml:space="preserve">Целевой </w:t>
            </w:r>
            <w:proofErr w:type="gramStart"/>
            <w:r w:rsidRPr="00B30526">
              <w:t xml:space="preserve">показатель </w:t>
            </w:r>
            <w:r>
              <w:t xml:space="preserve"> 2</w:t>
            </w:r>
            <w:proofErr w:type="gramEnd"/>
          </w:p>
          <w:p w:rsidR="009C1570" w:rsidRPr="000F5B3B" w:rsidRDefault="009C1570" w:rsidP="000D6A20">
            <w:r w:rsidRPr="000F5B3B"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98,0</w:t>
            </w:r>
          </w:p>
          <w:p w:rsidR="009C1570" w:rsidRPr="000F5B3B" w:rsidRDefault="009C1570" w:rsidP="000D6A20"/>
        </w:tc>
        <w:tc>
          <w:tcPr>
            <w:tcW w:w="3094" w:type="dxa"/>
          </w:tcPr>
          <w:p w:rsidR="009C1570" w:rsidRDefault="009C1570" w:rsidP="000D6A20">
            <w:pPr>
              <w:rPr>
                <w:color w:val="000000"/>
                <w:kern w:val="28"/>
              </w:rPr>
            </w:pPr>
            <w:r w:rsidRPr="00DD0011">
              <w:rPr>
                <w:color w:val="000000"/>
                <w:kern w:val="28"/>
              </w:rPr>
              <w:t>Федеральный закон от 29 декабря 2012 года N 273-ФЗ</w:t>
            </w:r>
          </w:p>
          <w:p w:rsidR="009C1570" w:rsidRPr="00250211" w:rsidRDefault="009C1570" w:rsidP="000D6A20">
            <w:r w:rsidRPr="00250211">
              <w:rPr>
                <w:color w:val="000000"/>
                <w:kern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образования» в Североуральском городском округе, утверждённый постановлением Администрации Североуральского городского округа от 18.08.2014№ 1168 от (далее – Постановление от 18.08.2014 № 1168)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11</w:t>
            </w:r>
          </w:p>
        </w:tc>
        <w:tc>
          <w:tcPr>
            <w:tcW w:w="3397" w:type="dxa"/>
          </w:tcPr>
          <w:p w:rsidR="009C1570" w:rsidRDefault="009C1570" w:rsidP="000D6A20">
            <w:bookmarkStart w:id="2" w:name="P996"/>
            <w:bookmarkEnd w:id="2"/>
            <w:r w:rsidRPr="00B30526">
              <w:t xml:space="preserve">Целевой показатель </w:t>
            </w:r>
            <w:r>
              <w:t>3</w:t>
            </w:r>
          </w:p>
          <w:p w:rsidR="009C1570" w:rsidRPr="000F5B3B" w:rsidRDefault="009C1570" w:rsidP="000D6A20">
            <w:r w:rsidRPr="000F5B3B">
              <w:t xml:space="preserve">Доля учащихся общеобразовательных </w:t>
            </w:r>
            <w:r>
              <w:t>учреждений</w:t>
            </w:r>
            <w:r w:rsidRPr="000F5B3B">
              <w:t>, обучающихся в одну смену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DC26BB" w:rsidRDefault="009C1570" w:rsidP="000D6A20">
            <w:r w:rsidRPr="00DC26BB">
              <w:t>94,0</w:t>
            </w:r>
          </w:p>
        </w:tc>
        <w:tc>
          <w:tcPr>
            <w:tcW w:w="1123" w:type="dxa"/>
          </w:tcPr>
          <w:p w:rsidR="009C1570" w:rsidRPr="00DC26BB" w:rsidRDefault="009C1570" w:rsidP="000D6A20">
            <w:r>
              <w:t>100</w:t>
            </w:r>
            <w:r w:rsidRPr="00DC26BB">
              <w:t>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</w:t>
            </w:r>
            <w:r w:rsidRPr="000F5B3B">
              <w:t>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</w:t>
            </w:r>
            <w:r w:rsidRPr="000F5B3B">
              <w:t>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</w:t>
            </w:r>
            <w:r w:rsidRPr="000F5B3B">
              <w:t>,0</w:t>
            </w:r>
          </w:p>
        </w:tc>
        <w:tc>
          <w:tcPr>
            <w:tcW w:w="3094" w:type="dxa"/>
          </w:tcPr>
          <w:p w:rsidR="009C1570" w:rsidRDefault="009C1570" w:rsidP="000D6A20">
            <w:r w:rsidRPr="008464EB">
              <w:t>Федеральный закон от 29 декабря 2012 года N 273-ФЗ</w:t>
            </w:r>
            <w:r>
              <w:t>;</w:t>
            </w:r>
          </w:p>
          <w:p w:rsidR="009C1570" w:rsidRPr="00250211" w:rsidRDefault="009C1570" w:rsidP="000D6A20">
            <w:r w:rsidRPr="00250211">
              <w:t>Постановление от 18.08.2014 № 1168</w:t>
            </w:r>
          </w:p>
        </w:tc>
      </w:tr>
      <w:tr w:rsidR="009C1570" w:rsidRPr="00F66F3E" w:rsidTr="009C1570">
        <w:tblPrEx>
          <w:tblBorders>
            <w:insideH w:val="nil"/>
          </w:tblBorders>
        </w:tblPrEx>
        <w:tc>
          <w:tcPr>
            <w:tcW w:w="993" w:type="dxa"/>
            <w:tcBorders>
              <w:bottom w:val="nil"/>
            </w:tcBorders>
          </w:tcPr>
          <w:p w:rsidR="009C1570" w:rsidRPr="000F5B3B" w:rsidRDefault="009C1570" w:rsidP="000D6A20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bottom w:val="nil"/>
            </w:tcBorders>
          </w:tcPr>
          <w:p w:rsidR="009C1570" w:rsidRDefault="009C1570" w:rsidP="000D6A20">
            <w:bookmarkStart w:id="3" w:name="P1048"/>
            <w:bookmarkEnd w:id="3"/>
            <w:r w:rsidRPr="00B30526">
              <w:t xml:space="preserve">Целевой показатель </w:t>
            </w:r>
            <w:r>
              <w:t>4</w:t>
            </w:r>
          </w:p>
          <w:p w:rsidR="009C1570" w:rsidRPr="000F5B3B" w:rsidRDefault="009C1570" w:rsidP="000D6A20">
            <w:r w:rsidRPr="000F5B3B"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Pr="008555BC" w:rsidRDefault="009C1570" w:rsidP="000D6A20">
            <w:pPr>
              <w:jc w:val="center"/>
            </w:pPr>
            <w:r w:rsidRPr="008555BC">
              <w:t>8</w:t>
            </w:r>
            <w:r>
              <w:t>0</w:t>
            </w:r>
            <w:r w:rsidRPr="008555BC">
              <w:t>,0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Default="009C1570" w:rsidP="000D6A20">
            <w:pPr>
              <w:jc w:val="center"/>
            </w:pPr>
            <w:r w:rsidRPr="0038401B">
              <w:t>8</w:t>
            </w:r>
            <w:r>
              <w:t>2</w:t>
            </w:r>
            <w:r w:rsidRPr="0038401B">
              <w:t>,0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Default="009C1570" w:rsidP="000D6A20">
            <w:pPr>
              <w:jc w:val="center"/>
            </w:pPr>
            <w:r w:rsidRPr="0038401B">
              <w:t>8</w:t>
            </w:r>
            <w:r>
              <w:t>3</w:t>
            </w:r>
            <w:r w:rsidRPr="0038401B">
              <w:t>,0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Default="009C1570" w:rsidP="000D6A20">
            <w:pPr>
              <w:jc w:val="center"/>
            </w:pPr>
            <w:r w:rsidRPr="0038401B">
              <w:t>8</w:t>
            </w:r>
            <w:r>
              <w:t>4</w:t>
            </w:r>
            <w:r w:rsidRPr="0038401B">
              <w:t>,0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Default="009C1570" w:rsidP="000D6A20">
            <w:pPr>
              <w:jc w:val="center"/>
            </w:pPr>
            <w:r w:rsidRPr="0038401B">
              <w:t>85,0</w:t>
            </w:r>
          </w:p>
        </w:tc>
        <w:tc>
          <w:tcPr>
            <w:tcW w:w="1123" w:type="dxa"/>
            <w:tcBorders>
              <w:bottom w:val="nil"/>
            </w:tcBorders>
          </w:tcPr>
          <w:p w:rsidR="009C1570" w:rsidRDefault="009C1570" w:rsidP="000D6A20">
            <w:pPr>
              <w:jc w:val="center"/>
            </w:pPr>
            <w:r w:rsidRPr="0038401B">
              <w:t>85,0</w:t>
            </w:r>
          </w:p>
        </w:tc>
        <w:tc>
          <w:tcPr>
            <w:tcW w:w="3094" w:type="dxa"/>
            <w:tcBorders>
              <w:bottom w:val="nil"/>
            </w:tcBorders>
          </w:tcPr>
          <w:p w:rsidR="009C1570" w:rsidRDefault="009C1570" w:rsidP="000D6A20">
            <w:r w:rsidRPr="00EA2415">
              <w:t>Федеральный закон от 29 декабря 2012 года N 273-ФЗ;</w:t>
            </w:r>
            <w:r w:rsidRPr="008464EB">
              <w:t xml:space="preserve"> </w:t>
            </w:r>
          </w:p>
          <w:p w:rsidR="009C1570" w:rsidRPr="00EA2415" w:rsidRDefault="009C1570" w:rsidP="000D6A20">
            <w:r w:rsidRPr="008464EB">
              <w:t>Постановление от 18.08.2014 № 1168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13</w:t>
            </w:r>
          </w:p>
        </w:tc>
        <w:tc>
          <w:tcPr>
            <w:tcW w:w="3397" w:type="dxa"/>
          </w:tcPr>
          <w:p w:rsidR="009C1570" w:rsidRDefault="009C1570" w:rsidP="000D6A20">
            <w:bookmarkStart w:id="4" w:name="P1076"/>
            <w:bookmarkEnd w:id="4"/>
            <w:r w:rsidRPr="00B30526">
              <w:t xml:space="preserve">Целевой показатель </w:t>
            </w:r>
            <w:r>
              <w:t>5</w:t>
            </w:r>
          </w:p>
          <w:p w:rsidR="009C1570" w:rsidRPr="000F5B3B" w:rsidRDefault="009C1570" w:rsidP="000D6A20">
            <w:r w:rsidRPr="000F5B3B">
              <w:t>Доля учащихся, осваивающих дополнительные образовательные программы технической и естественно-научной направленности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2,2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2,2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2,3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2,5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2,9</w:t>
            </w:r>
          </w:p>
        </w:tc>
        <w:tc>
          <w:tcPr>
            <w:tcW w:w="3094" w:type="dxa"/>
          </w:tcPr>
          <w:p w:rsidR="009C1570" w:rsidRDefault="009C1570" w:rsidP="000D6A20">
            <w:r w:rsidRPr="008464EB">
              <w:t>Федеральный закон от 29 декабря 2012 года N 273-ФЗ</w:t>
            </w:r>
            <w:r>
              <w:t>;</w:t>
            </w:r>
          </w:p>
          <w:p w:rsidR="009C1570" w:rsidRDefault="009C1570" w:rsidP="000D6A20">
            <w:r w:rsidRPr="00250211">
              <w:t>Постановление от 18.08.2014 № 1168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14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 xml:space="preserve">Задача 2 "Обеспечение государственных гарантий прав граждан на получение общедоступного и бесплатного дошкольного образования в дошкольных образовательных </w:t>
            </w:r>
            <w:r>
              <w:t>учреждения</w:t>
            </w:r>
            <w:r w:rsidRPr="000F5B3B">
              <w:t>х"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15</w:t>
            </w:r>
          </w:p>
        </w:tc>
        <w:tc>
          <w:tcPr>
            <w:tcW w:w="3397" w:type="dxa"/>
          </w:tcPr>
          <w:p w:rsidR="009C1570" w:rsidRDefault="009C1570" w:rsidP="000D6A20">
            <w:bookmarkStart w:id="5" w:name="P1195"/>
            <w:bookmarkEnd w:id="5"/>
            <w:r w:rsidRPr="00CA4FDB">
              <w:t xml:space="preserve">Целевой показатель </w:t>
            </w:r>
            <w:r>
              <w:t>1</w:t>
            </w:r>
          </w:p>
          <w:p w:rsidR="009C1570" w:rsidRPr="000F5B3B" w:rsidRDefault="009C1570" w:rsidP="000D6A20">
            <w:r w:rsidRPr="000F5B3B">
              <w:t xml:space="preserve">Доступность дошкольного образования для детей в возрасте </w:t>
            </w:r>
            <w:r>
              <w:t>от 3 до</w:t>
            </w:r>
            <w:r w:rsidRPr="000F5B3B">
              <w:t xml:space="preserve"> 7 лет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3094" w:type="dxa"/>
          </w:tcPr>
          <w:p w:rsidR="009C1570" w:rsidRPr="008464EB" w:rsidRDefault="009C1570" w:rsidP="000D6A20">
            <w:r w:rsidRPr="008464EB">
              <w:t>Федеральный закон о</w:t>
            </w:r>
            <w:r>
              <w:t>т 29 декабря 2012 года N 273-ФЗ</w:t>
            </w:r>
          </w:p>
          <w:p w:rsidR="009C1570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16</w:t>
            </w:r>
          </w:p>
        </w:tc>
        <w:tc>
          <w:tcPr>
            <w:tcW w:w="3397" w:type="dxa"/>
          </w:tcPr>
          <w:p w:rsidR="009C1570" w:rsidRDefault="009C1570" w:rsidP="000D6A20">
            <w:bookmarkStart w:id="6" w:name="P1208"/>
            <w:bookmarkEnd w:id="6"/>
            <w:r w:rsidRPr="00BE0001">
              <w:t xml:space="preserve">Целевой показатель </w:t>
            </w:r>
            <w:r>
              <w:t>2</w:t>
            </w:r>
          </w:p>
          <w:p w:rsidR="009C1570" w:rsidRPr="000F5B3B" w:rsidRDefault="009C1570" w:rsidP="000D6A20">
            <w:r>
              <w:t>Обеспечение</w:t>
            </w:r>
            <w:r w:rsidRPr="000F5B3B">
              <w:t xml:space="preserve"> </w:t>
            </w:r>
            <w:r>
              <w:t xml:space="preserve">доступности дошкольного образования </w:t>
            </w:r>
            <w:r w:rsidRPr="000F5B3B">
              <w:t xml:space="preserve">детей </w:t>
            </w:r>
            <w:r>
              <w:t xml:space="preserve">в возрасте от 1 года до 3 лет 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C66E87">
              <w:t>100,0</w:t>
            </w:r>
          </w:p>
        </w:tc>
        <w:tc>
          <w:tcPr>
            <w:tcW w:w="3094" w:type="dxa"/>
          </w:tcPr>
          <w:p w:rsidR="009C1570" w:rsidRPr="008464EB" w:rsidRDefault="009C1570" w:rsidP="000D6A20">
            <w:r w:rsidRPr="008464EB">
              <w:t>Федеральный закон о</w:t>
            </w:r>
            <w:r>
              <w:t>т 29 декабря 2012 года N 273-ФЗ</w:t>
            </w:r>
          </w:p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17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 xml:space="preserve">Задача 3 "Создание в образовательных </w:t>
            </w:r>
            <w:r>
              <w:t>учреждения</w:t>
            </w:r>
            <w:r w:rsidRPr="000F5B3B">
              <w:t>х необходимых условий</w:t>
            </w:r>
            <w:r>
              <w:t xml:space="preserve"> для получения</w:t>
            </w:r>
            <w:r w:rsidRPr="000F5B3B">
              <w:t xml:space="preserve"> качественного образования </w:t>
            </w:r>
            <w:r>
              <w:t xml:space="preserve">детьми-инвалидами и </w:t>
            </w:r>
            <w:r w:rsidRPr="000F5B3B">
              <w:t>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здоровья"</w:t>
            </w:r>
            <w:r>
              <w:t xml:space="preserve">,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в образовательных учреждениях»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18</w:t>
            </w:r>
          </w:p>
        </w:tc>
        <w:tc>
          <w:tcPr>
            <w:tcW w:w="3397" w:type="dxa"/>
          </w:tcPr>
          <w:p w:rsidR="009C1570" w:rsidRDefault="009C1570" w:rsidP="000D6A20">
            <w:bookmarkStart w:id="7" w:name="P1224"/>
            <w:bookmarkEnd w:id="7"/>
            <w:r w:rsidRPr="00BE0001">
              <w:t>Целевой показатель</w:t>
            </w:r>
            <w:r>
              <w:t xml:space="preserve"> 1</w:t>
            </w:r>
          </w:p>
          <w:p w:rsidR="009C1570" w:rsidRPr="000F5B3B" w:rsidRDefault="009C1570" w:rsidP="000D6A20">
            <w:r w:rsidRPr="000F5B3B">
              <w:t xml:space="preserve">Доля образовательных </w:t>
            </w:r>
            <w:r>
              <w:t>учреждений</w:t>
            </w:r>
            <w:r w:rsidRPr="000F5B3B">
              <w:t>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16432F">
              <w:t>100,0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8464EB">
              <w:t>Федеральный закон от 29 декабря 2012 года N</w:t>
            </w:r>
            <w:r>
              <w:t xml:space="preserve"> 273-ФЗ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19</w:t>
            </w:r>
          </w:p>
        </w:tc>
        <w:tc>
          <w:tcPr>
            <w:tcW w:w="3397" w:type="dxa"/>
          </w:tcPr>
          <w:p w:rsidR="009C1570" w:rsidRDefault="009C1570" w:rsidP="000D6A20">
            <w:bookmarkStart w:id="8" w:name="P1263"/>
            <w:bookmarkEnd w:id="8"/>
            <w:r w:rsidRPr="00BE0001">
              <w:t>Целевой показатель</w:t>
            </w:r>
            <w:r>
              <w:t xml:space="preserve"> 2</w:t>
            </w:r>
          </w:p>
          <w:p w:rsidR="009C1570" w:rsidRPr="000F5B3B" w:rsidRDefault="009C1570" w:rsidP="000D6A20">
            <w:r>
              <w:t xml:space="preserve">Доля </w:t>
            </w:r>
            <w:r w:rsidRPr="00D1400E">
              <w:t>зданий</w:t>
            </w:r>
            <w:r>
              <w:t xml:space="preserve"> </w:t>
            </w:r>
            <w:r w:rsidRPr="000F5B3B">
              <w:t xml:space="preserve">образовательных </w:t>
            </w:r>
            <w:r>
              <w:t>учреждений</w:t>
            </w:r>
            <w:r w:rsidRPr="000F5B3B">
              <w:t xml:space="preserve">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</w:t>
            </w:r>
            <w:r w:rsidRPr="000F5B3B">
              <w:t>среда для инклюзивного образования детей-инвалидов</w:t>
            </w:r>
            <w:r>
              <w:t xml:space="preserve">, в общем количестве </w:t>
            </w:r>
            <w:r w:rsidRPr="000F5B3B">
              <w:t xml:space="preserve">образовательных </w:t>
            </w:r>
            <w:r>
              <w:t>учреждений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23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28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33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38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42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47</w:t>
            </w:r>
          </w:p>
        </w:tc>
        <w:tc>
          <w:tcPr>
            <w:tcW w:w="3094" w:type="dxa"/>
          </w:tcPr>
          <w:p w:rsidR="009C1570" w:rsidRPr="008464EB" w:rsidRDefault="009C1570" w:rsidP="000D6A20">
            <w:r w:rsidRPr="008464EB">
              <w:t>Федеральный закон от 29 декабря 2012 года N 273-ФЗ;</w:t>
            </w:r>
          </w:p>
          <w:p w:rsidR="009C1570" w:rsidRPr="000F5B3B" w:rsidRDefault="009C1570" w:rsidP="000D6A20">
            <w:r w:rsidRPr="008464EB">
              <w:t>Постановление</w:t>
            </w:r>
            <w:r>
              <w:rPr>
                <w:u w:val="single"/>
              </w:rPr>
              <w:t xml:space="preserve"> </w:t>
            </w:r>
            <w:r w:rsidRPr="000F5B3B">
              <w:t xml:space="preserve">Правительства Российской Федерации от 01.12.2015 N 1297 "Об утверждении государственной программы Российской Федерации "Доступная среда" на 2011 - 2020 годы" 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20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 xml:space="preserve">Задача 4 "Осуществление мероприятий по организации питания в муниципальных общеобразовательных </w:t>
            </w:r>
            <w:r>
              <w:t>учреждения</w:t>
            </w:r>
            <w:r w:rsidRPr="000F5B3B">
              <w:t>х"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21</w:t>
            </w:r>
          </w:p>
        </w:tc>
        <w:tc>
          <w:tcPr>
            <w:tcW w:w="3397" w:type="dxa"/>
          </w:tcPr>
          <w:p w:rsidR="009C1570" w:rsidRDefault="009C1570" w:rsidP="000D6A20">
            <w:bookmarkStart w:id="9" w:name="P1345"/>
            <w:bookmarkEnd w:id="9"/>
            <w:r w:rsidRPr="00BE0001">
              <w:t xml:space="preserve">Целевой </w:t>
            </w:r>
            <w:proofErr w:type="gramStart"/>
            <w:r w:rsidRPr="00BE0001">
              <w:t xml:space="preserve">показатель </w:t>
            </w:r>
            <w:r>
              <w:t xml:space="preserve"> 1</w:t>
            </w:r>
            <w:proofErr w:type="gramEnd"/>
          </w:p>
          <w:p w:rsidR="009C1570" w:rsidRPr="000F5B3B" w:rsidRDefault="009C1570" w:rsidP="000D6A20">
            <w:r w:rsidRPr="000F5B3B">
              <w:t xml:space="preserve">Доля обучающихся льготных категорий, указанных в </w:t>
            </w:r>
            <w:r w:rsidRPr="001771E2">
              <w:t>статьях 22</w:t>
            </w:r>
            <w:r w:rsidRPr="000F5B3B">
              <w:t xml:space="preserve"> и </w:t>
            </w:r>
            <w:r w:rsidRPr="001771E2">
              <w:t>33-1</w:t>
            </w:r>
            <w:r w:rsidRPr="000F5B3B">
              <w:t xml:space="preserve"> Закона Свердловской области от 15 июля 2013 года N 78-ОЗ "Об образовании в Свердловской области",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100,0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DD0011">
              <w:t>Закон</w:t>
            </w:r>
            <w:r w:rsidRPr="000F5B3B">
              <w:t xml:space="preserve"> Свердловской области от 15 июля 2013 года N 78-ОЗ "Об образовании в Свердловской области" 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22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 xml:space="preserve">Задача 5 "Обеспечение бесплатного проезда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</w:t>
            </w:r>
            <w:r>
              <w:t>учреждения</w:t>
            </w:r>
            <w:r w:rsidRPr="000F5B3B">
              <w:t>х, на городском, пригородном, в сель</w:t>
            </w:r>
            <w:r>
              <w:t xml:space="preserve">ской </w:t>
            </w:r>
            <w:proofErr w:type="gramStart"/>
            <w:r>
              <w:t>местности  транспорте</w:t>
            </w:r>
            <w:proofErr w:type="gramEnd"/>
            <w:r>
              <w:t xml:space="preserve"> (кроме такси)</w:t>
            </w:r>
            <w:r w:rsidRPr="000F5B3B">
              <w:t>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23</w:t>
            </w:r>
          </w:p>
        </w:tc>
        <w:tc>
          <w:tcPr>
            <w:tcW w:w="3397" w:type="dxa"/>
          </w:tcPr>
          <w:p w:rsidR="009C1570" w:rsidRDefault="009C1570" w:rsidP="000D6A20">
            <w:bookmarkStart w:id="10" w:name="P1361"/>
            <w:bookmarkEnd w:id="10"/>
            <w:r w:rsidRPr="00BE0001">
              <w:t>Целевой показатель</w:t>
            </w:r>
            <w:r>
              <w:t xml:space="preserve"> 1</w:t>
            </w:r>
          </w:p>
          <w:p w:rsidR="009C1570" w:rsidRPr="000F5B3B" w:rsidRDefault="009C1570" w:rsidP="000D6A20">
            <w:r w:rsidRPr="000F5B3B">
              <w:t xml:space="preserve">Доля </w:t>
            </w:r>
            <w:r w:rsidRPr="0081609C">
              <w:t>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– дети-сироты), к общей численности детей-сирот, имеющих такую потребность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t>процентов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 w:rsidRPr="000F5B3B">
              <w:t>100,0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0F5B3B">
              <w:t xml:space="preserve">Федеральный </w:t>
            </w:r>
            <w:r w:rsidRPr="008464EB">
              <w:t>закон</w:t>
            </w:r>
            <w:r w:rsidRPr="000F5B3B">
      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24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 xml:space="preserve">Задача 6 </w:t>
            </w:r>
            <w:r w:rsidRPr="00812D1A">
              <w:t>"Создание условий, обеспечивающих возможность реализации права граждан на непрерывное образование по инженерно-техническим специальностям"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25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 1</w:t>
            </w:r>
          </w:p>
          <w:p w:rsidR="009C1570" w:rsidRPr="000F5B3B" w:rsidRDefault="009C1570" w:rsidP="000D6A20">
            <w:r w:rsidRPr="00812D1A">
              <w:t xml:space="preserve">Количество модернизированных кабинетов естественно-научного цикла 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единиц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</w:t>
            </w:r>
          </w:p>
        </w:tc>
        <w:tc>
          <w:tcPr>
            <w:tcW w:w="3094" w:type="dxa"/>
          </w:tcPr>
          <w:p w:rsidR="009C1570" w:rsidRDefault="009C1570" w:rsidP="000D6A20">
            <w:r w:rsidRPr="008464EB">
              <w:t>Федеральный закон от 29 декабря 2012 года N 273-ФЗ</w:t>
            </w:r>
          </w:p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26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proofErr w:type="gramStart"/>
            <w:r w:rsidRPr="00812D1A">
              <w:t>Задача  7</w:t>
            </w:r>
            <w:proofErr w:type="gramEnd"/>
            <w:r w:rsidRPr="00812D1A">
              <w:t xml:space="preserve"> "Сохранение и развитие спортивной инфраструктуры муниципальных общеобразовательных учреждений"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27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 1</w:t>
            </w:r>
          </w:p>
          <w:p w:rsidR="009C1570" w:rsidRPr="000F5B3B" w:rsidRDefault="009C1570" w:rsidP="000D6A20">
            <w:r w:rsidRPr="000F5B3B">
              <w:t xml:space="preserve">Количество спортивных площадок в муниципальных общеобразовательных </w:t>
            </w:r>
            <w:r>
              <w:t>учреждения</w:t>
            </w:r>
            <w:r w:rsidRPr="000F5B3B">
              <w:t xml:space="preserve">х, </w:t>
            </w:r>
            <w:bookmarkStart w:id="11" w:name="_GoBack"/>
            <w:bookmarkEnd w:id="11"/>
            <w:r w:rsidRPr="000F5B3B">
              <w:lastRenderedPageBreak/>
              <w:t>оборудованных в рамках реализации государственной программы Свердловской области "Развитие системы образования в Свердловской области до 2024 года"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lastRenderedPageBreak/>
              <w:t>единиц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0</w:t>
            </w:r>
          </w:p>
        </w:tc>
        <w:tc>
          <w:tcPr>
            <w:tcW w:w="1123" w:type="dxa"/>
          </w:tcPr>
          <w:p w:rsidR="009C1570" w:rsidRPr="000F5B3B" w:rsidRDefault="009C1570" w:rsidP="000D6A20">
            <w:pPr>
              <w:jc w:val="center"/>
            </w:pPr>
            <w:r>
              <w:t>0</w:t>
            </w:r>
          </w:p>
        </w:tc>
        <w:tc>
          <w:tcPr>
            <w:tcW w:w="3094" w:type="dxa"/>
          </w:tcPr>
          <w:p w:rsidR="009C1570" w:rsidRDefault="009C1570" w:rsidP="000D6A20">
            <w:r w:rsidRPr="008464EB">
              <w:t>Федеральный закон от 29 декабря 2012 года N 273-ФЗ</w:t>
            </w:r>
          </w:p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28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</w:t>
            </w:r>
            <w:r>
              <w:t xml:space="preserve"> 2</w:t>
            </w:r>
          </w:p>
          <w:p w:rsidR="009C1570" w:rsidRPr="00E8374A" w:rsidRDefault="009C1570" w:rsidP="000D6A20">
            <w:proofErr w:type="gramStart"/>
            <w:r w:rsidRPr="003D073E">
              <w:t xml:space="preserve">Количество </w:t>
            </w:r>
            <w:r>
              <w:t xml:space="preserve"> зданий</w:t>
            </w:r>
            <w:proofErr w:type="gramEnd"/>
            <w:r>
              <w:t xml:space="preserve"> </w:t>
            </w:r>
            <w:r w:rsidRPr="00E8374A">
              <w:t xml:space="preserve">общеобразовательных </w:t>
            </w:r>
            <w:r>
              <w:t>учреждений</w:t>
            </w:r>
            <w:r w:rsidRPr="00E8374A">
              <w:t>, расположенных в сельской местности, в которых отремонтированы спортивные залы</w:t>
            </w:r>
          </w:p>
          <w:p w:rsidR="009C1570" w:rsidRPr="000F5B3B" w:rsidRDefault="009C1570" w:rsidP="000D6A20"/>
        </w:tc>
        <w:tc>
          <w:tcPr>
            <w:tcW w:w="1123" w:type="dxa"/>
          </w:tcPr>
          <w:p w:rsidR="009C1570" w:rsidRPr="000F5B3B" w:rsidRDefault="009C1570" w:rsidP="000D6A20">
            <w:r w:rsidRPr="00E8374A">
              <w:t>единиц</w:t>
            </w:r>
          </w:p>
        </w:tc>
        <w:tc>
          <w:tcPr>
            <w:tcW w:w="1123" w:type="dxa"/>
          </w:tcPr>
          <w:p w:rsidR="009C1570" w:rsidRPr="00AB14E8" w:rsidRDefault="009C1570" w:rsidP="000D6A20">
            <w:r w:rsidRPr="00AB14E8">
              <w:t>1</w:t>
            </w:r>
          </w:p>
        </w:tc>
        <w:tc>
          <w:tcPr>
            <w:tcW w:w="1123" w:type="dxa"/>
          </w:tcPr>
          <w:p w:rsidR="009C1570" w:rsidRPr="00AB14E8" w:rsidRDefault="009C1570" w:rsidP="000D6A20">
            <w:r>
              <w:t>1</w:t>
            </w:r>
          </w:p>
        </w:tc>
        <w:tc>
          <w:tcPr>
            <w:tcW w:w="1123" w:type="dxa"/>
          </w:tcPr>
          <w:p w:rsidR="009C1570" w:rsidRPr="00AB14E8" w:rsidRDefault="009C1570" w:rsidP="000D6A20">
            <w:r>
              <w:t>0</w:t>
            </w:r>
          </w:p>
        </w:tc>
        <w:tc>
          <w:tcPr>
            <w:tcW w:w="1123" w:type="dxa"/>
          </w:tcPr>
          <w:p w:rsidR="009C1570" w:rsidRPr="00AB14E8" w:rsidRDefault="009C1570" w:rsidP="000D6A20">
            <w:r>
              <w:t>0</w:t>
            </w:r>
          </w:p>
        </w:tc>
        <w:tc>
          <w:tcPr>
            <w:tcW w:w="1123" w:type="dxa"/>
          </w:tcPr>
          <w:p w:rsidR="009C1570" w:rsidRPr="00AB14E8" w:rsidRDefault="009C1570" w:rsidP="000D6A20">
            <w:r>
              <w:t>0</w:t>
            </w:r>
          </w:p>
        </w:tc>
        <w:tc>
          <w:tcPr>
            <w:tcW w:w="1123" w:type="dxa"/>
          </w:tcPr>
          <w:p w:rsidR="009C1570" w:rsidRPr="00AB14E8" w:rsidRDefault="009C1570" w:rsidP="000D6A20">
            <w:r>
              <w:t>0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8464EB">
              <w:t>Федеральный закон от 29 декабря 2012 года N 273-ФЗ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29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>Задача 8 «Обеспечение антитеррористической защищенности образовательных учреждений»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30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 1</w:t>
            </w:r>
          </w:p>
          <w:p w:rsidR="009C1570" w:rsidRPr="000F5B3B" w:rsidRDefault="009C1570" w:rsidP="000D6A20">
            <w:r>
              <w:t>Доля зданий образовательных учреждений, в которых соблюдены требования антитеррористической защищенности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процент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27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37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43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50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51</w:t>
            </w:r>
          </w:p>
        </w:tc>
        <w:tc>
          <w:tcPr>
            <w:tcW w:w="3094" w:type="dxa"/>
          </w:tcPr>
          <w:p w:rsidR="009C1570" w:rsidRPr="008464EB" w:rsidRDefault="009C1570" w:rsidP="000D6A20">
            <w:r w:rsidRPr="008464EB">
              <w:t>Федеральный закон от 29 декабря 2012 года N 273-ФЗ;</w:t>
            </w:r>
          </w:p>
          <w:p w:rsidR="009C1570" w:rsidRPr="008464EB" w:rsidRDefault="009C1570" w:rsidP="000D6A20">
            <w:r w:rsidRPr="008464EB">
              <w:t xml:space="preserve">Постановление </w:t>
            </w:r>
            <w:r>
              <w:t>Правительства РФ от 07.10.2017 №</w:t>
            </w:r>
            <w:r w:rsidRPr="008464EB">
              <w:t xml:space="preserve"> 1235</w:t>
            </w:r>
          </w:p>
          <w:p w:rsidR="009C1570" w:rsidRPr="008464EB" w:rsidRDefault="009C1570" w:rsidP="000D6A20">
            <w:r w:rsidRPr="008464EB">
      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31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>Задача 9 «Обеспечение</w:t>
            </w:r>
            <w:r w:rsidRPr="001771E2">
              <w:t xml:space="preserve"> возможности участия детей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</w:t>
            </w:r>
            <w:r>
              <w:t>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32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 1</w:t>
            </w:r>
          </w:p>
          <w:p w:rsidR="009C1570" w:rsidRPr="000F5B3B" w:rsidRDefault="009C1570" w:rsidP="000D6A20">
            <w:r>
              <w:t xml:space="preserve">Доля детей и подростков, принявших участие </w:t>
            </w:r>
            <w:r w:rsidRPr="001771E2">
              <w:t xml:space="preserve">в спортивных мероприятиях городского, областного и </w:t>
            </w:r>
            <w:r w:rsidRPr="001771E2">
              <w:lastRenderedPageBreak/>
              <w:t>федерального уровней, а также для обеспечения прочих мероприятий для детей и подростков, включая проведение олимпиад, конкурсов, участия в выставках и т.п.</w:t>
            </w:r>
            <w:r>
              <w:t>, к общему количеству детей, посещающих образовательные учреждения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lastRenderedPageBreak/>
              <w:t>процентов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1123" w:type="dxa"/>
          </w:tcPr>
          <w:p w:rsidR="009C1570" w:rsidRDefault="009C1570" w:rsidP="000D6A20">
            <w:r w:rsidRPr="002D0485">
              <w:t>90,0</w:t>
            </w:r>
          </w:p>
        </w:tc>
        <w:tc>
          <w:tcPr>
            <w:tcW w:w="3094" w:type="dxa"/>
          </w:tcPr>
          <w:p w:rsidR="009C1570" w:rsidRPr="000F5B3B" w:rsidRDefault="009C1570" w:rsidP="000D6A20">
            <w:r w:rsidRPr="008464EB">
              <w:t>Федеральный закон от 29 декабря 2012 года N 273-ФЗ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33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</w:t>
            </w:r>
            <w:r>
              <w:t xml:space="preserve"> 2</w:t>
            </w:r>
          </w:p>
          <w:p w:rsidR="009C1570" w:rsidRDefault="009C1570" w:rsidP="000D6A20">
            <w:r>
              <w:t xml:space="preserve">Количество мероприятий, направленных на выявление и поддержку одаренных детей 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единиц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5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6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7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8</w:t>
            </w:r>
          </w:p>
        </w:tc>
        <w:tc>
          <w:tcPr>
            <w:tcW w:w="3094" w:type="dxa"/>
          </w:tcPr>
          <w:p w:rsidR="009C1570" w:rsidRPr="008464E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34</w:t>
            </w:r>
          </w:p>
        </w:tc>
        <w:tc>
          <w:tcPr>
            <w:tcW w:w="14352" w:type="dxa"/>
            <w:gridSpan w:val="9"/>
          </w:tcPr>
          <w:p w:rsidR="009C1570" w:rsidRPr="008464EB" w:rsidRDefault="009C1570" w:rsidP="000D6A20">
            <w:r w:rsidRPr="004E7AD5">
              <w:t>Задача 10 «Обеспечение безопасности зданий и сооружений»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35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 1</w:t>
            </w:r>
          </w:p>
          <w:p w:rsidR="009C1570" w:rsidRDefault="009C1570" w:rsidP="000D6A20">
            <w:r w:rsidRPr="005E29A0">
              <w:t>Количество мероприятий, работ, направленных на капитальный ремонт, приведение в соответствие с требованиями пожарной безопасности и санитарного законодательства Российской Федерации</w:t>
            </w:r>
          </w:p>
        </w:tc>
        <w:tc>
          <w:tcPr>
            <w:tcW w:w="1123" w:type="dxa"/>
          </w:tcPr>
          <w:p w:rsidR="009C1570" w:rsidRDefault="009C1570" w:rsidP="000D6A20">
            <w:r>
              <w:t>единиц</w:t>
            </w:r>
          </w:p>
          <w:p w:rsidR="009C1570" w:rsidRDefault="009C1570" w:rsidP="000D6A20"/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1123" w:type="dxa"/>
          </w:tcPr>
          <w:p w:rsidR="009C1570" w:rsidRDefault="009C1570" w:rsidP="000D6A20">
            <w:r>
              <w:t>2</w:t>
            </w:r>
          </w:p>
        </w:tc>
        <w:tc>
          <w:tcPr>
            <w:tcW w:w="3094" w:type="dxa"/>
          </w:tcPr>
          <w:p w:rsidR="009C1570" w:rsidRPr="004E7AD5" w:rsidRDefault="009C1570" w:rsidP="000D6A20">
            <w:r w:rsidRPr="004E7AD5">
              <w:t>Федеральный закон от 30.12.2009 N 384-ФЗ</w:t>
            </w:r>
          </w:p>
          <w:p w:rsidR="009C1570" w:rsidRPr="004E7AD5" w:rsidRDefault="009C1570" w:rsidP="000D6A20">
            <w:r w:rsidRPr="004E7AD5">
              <w:t>"Технический регламент о безопасности зданий и сооружений"</w:t>
            </w:r>
          </w:p>
          <w:p w:rsidR="009C1570" w:rsidRPr="008464E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36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>Цель 2 «Создание условий сохранения здоровья и развития детей в Североуральском городском округе»</w:t>
            </w:r>
          </w:p>
        </w:tc>
      </w:tr>
      <w:tr w:rsidR="009C1570" w:rsidRPr="00F66F3E" w:rsidTr="009C1570">
        <w:trPr>
          <w:trHeight w:val="337"/>
        </w:trPr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37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 xml:space="preserve">Задача 1 "Совершенствование </w:t>
            </w:r>
            <w:r w:rsidRPr="000F5B3B">
              <w:t>организации отдыха и оздоровления детей"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38</w:t>
            </w:r>
          </w:p>
        </w:tc>
        <w:tc>
          <w:tcPr>
            <w:tcW w:w="3397" w:type="dxa"/>
          </w:tcPr>
          <w:p w:rsidR="009C1570" w:rsidRPr="00BE0001" w:rsidRDefault="009C1570" w:rsidP="000D6A20">
            <w:pPr>
              <w:adjustRightInd w:val="0"/>
            </w:pPr>
            <w:r w:rsidRPr="00BE0001">
              <w:t>Целевой показатель 1</w:t>
            </w:r>
          </w:p>
          <w:p w:rsidR="009C1570" w:rsidRDefault="009C1570" w:rsidP="000D6A20">
            <w:pPr>
              <w:adjustRightInd w:val="0"/>
            </w:pPr>
            <w:r w:rsidRPr="00763A5F">
              <w:t xml:space="preserve">Количество мероприятий, работ, направленных </w:t>
            </w:r>
            <w:proofErr w:type="gramStart"/>
            <w:r w:rsidRPr="00763A5F">
              <w:t>на</w:t>
            </w:r>
            <w:r>
              <w:t xml:space="preserve">  </w:t>
            </w:r>
            <w:r w:rsidRPr="005E29A0">
              <w:t>капитальный</w:t>
            </w:r>
            <w:proofErr w:type="gramEnd"/>
            <w:r w:rsidRPr="005E29A0">
              <w:t xml:space="preserve"> ремонт, приведение в соответствие с требованиями пожарной безопасности и санитарного законодательства Российской Федерации</w:t>
            </w:r>
            <w:r>
              <w:t xml:space="preserve"> МАУ «ДОЗЛ им. В. Дубинина»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единиц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4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3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3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3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3</w:t>
            </w:r>
          </w:p>
        </w:tc>
        <w:tc>
          <w:tcPr>
            <w:tcW w:w="1123" w:type="dxa"/>
          </w:tcPr>
          <w:p w:rsidR="009C1570" w:rsidRDefault="009C1570" w:rsidP="000D6A20">
            <w:pPr>
              <w:adjustRightInd w:val="0"/>
            </w:pPr>
            <w:r>
              <w:t>3</w:t>
            </w:r>
          </w:p>
        </w:tc>
        <w:tc>
          <w:tcPr>
            <w:tcW w:w="3094" w:type="dxa"/>
          </w:tcPr>
          <w:p w:rsidR="009C1570" w:rsidRDefault="009C1570" w:rsidP="000D6A20">
            <w:r w:rsidRPr="008464EB">
              <w:t>Федеральный закон от 29 декабря 2012 года N 273-ФЗ</w:t>
            </w:r>
            <w:r>
              <w:t>;</w:t>
            </w:r>
          </w:p>
          <w:p w:rsidR="009C1570" w:rsidRDefault="009C1570" w:rsidP="000D6A20">
            <w:pPr>
              <w:adjustRightInd w:val="0"/>
            </w:pPr>
            <w:r w:rsidRPr="00250211">
              <w:t>Постановление от 18.08.2014 № 1168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39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</w:t>
            </w:r>
            <w:r>
              <w:t xml:space="preserve"> 2</w:t>
            </w:r>
          </w:p>
          <w:p w:rsidR="009C1570" w:rsidRPr="000F5B3B" w:rsidRDefault="009C1570" w:rsidP="000D6A20">
            <w:r w:rsidRPr="000F5B3B">
              <w:t xml:space="preserve">Доля детей, получивших услуги по организации отдыха и оздоровления в </w:t>
            </w:r>
            <w:r w:rsidRPr="000F5B3B">
              <w:lastRenderedPageBreak/>
              <w:t xml:space="preserve">санаторно-курортных </w:t>
            </w:r>
            <w:r>
              <w:t>учреждения</w:t>
            </w:r>
            <w:r w:rsidRPr="000F5B3B">
              <w:t>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123" w:type="dxa"/>
          </w:tcPr>
          <w:p w:rsidR="009C1570" w:rsidRPr="000F5B3B" w:rsidRDefault="009C1570" w:rsidP="000D6A20">
            <w:r w:rsidRPr="000F5B3B">
              <w:lastRenderedPageBreak/>
              <w:t>проценто</w:t>
            </w:r>
            <w:r>
              <w:t>в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39,0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40,0</w:t>
            </w:r>
          </w:p>
        </w:tc>
        <w:tc>
          <w:tcPr>
            <w:tcW w:w="3094" w:type="dxa"/>
            <w:vMerge w:val="restart"/>
          </w:tcPr>
          <w:p w:rsidR="009C1570" w:rsidRPr="000F5B3B" w:rsidRDefault="009C1570" w:rsidP="000D6A20">
            <w:r w:rsidRPr="008464EB">
              <w:t>Постановление</w:t>
            </w:r>
            <w:r w:rsidRPr="000F5B3B">
              <w:t xml:space="preserve"> Правительства Свердловской области от 21.12.2012 N 1484-ПП "О </w:t>
            </w:r>
            <w:r w:rsidRPr="000F5B3B">
              <w:lastRenderedPageBreak/>
              <w:t>Концепции развития отдыха и оздоровления детей в Свердловской области до 2020 года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40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</w:t>
            </w:r>
            <w:r>
              <w:t xml:space="preserve"> 3</w:t>
            </w:r>
          </w:p>
          <w:p w:rsidR="009C1570" w:rsidRPr="000F5B3B" w:rsidRDefault="009C1570" w:rsidP="000D6A20">
            <w:r>
              <w:t>Доля детей, имеющих положительный оздоровительный эффект, от общего числа оздоровленных детей в загородном оздоровительном лагере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процент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98,0</w:t>
            </w:r>
          </w:p>
        </w:tc>
        <w:tc>
          <w:tcPr>
            <w:tcW w:w="3094" w:type="dxa"/>
            <w:vMerge/>
          </w:tcPr>
          <w:p w:rsidR="009C1570" w:rsidRPr="000F5B3B" w:rsidRDefault="009C1570" w:rsidP="000D6A20"/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41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515019">
              <w:t>Подпрограмма 2 «Развитие кадрового потенциала»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42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>Цель 1</w:t>
            </w:r>
            <w:r w:rsidRPr="00515019">
              <w:t>: «Обновление системы развития педагогических кадров»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43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515019">
              <w:t>Задача 1 "Обеспечение квалифицированными педагогическими кадрами общеобразовательных учреждений»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Default="009C1570" w:rsidP="000D6A20">
            <w:pPr>
              <w:jc w:val="center"/>
            </w:pPr>
            <w:r>
              <w:t>44</w:t>
            </w:r>
          </w:p>
        </w:tc>
        <w:tc>
          <w:tcPr>
            <w:tcW w:w="3397" w:type="dxa"/>
          </w:tcPr>
          <w:p w:rsidR="009C1570" w:rsidRPr="00BE0001" w:rsidRDefault="009C1570" w:rsidP="000D6A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001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9C1570" w:rsidRPr="00BE0001" w:rsidRDefault="009C1570" w:rsidP="000D6A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E0001">
              <w:rPr>
                <w:rFonts w:ascii="Times New Roman" w:hAnsi="Times New Roman"/>
                <w:sz w:val="20"/>
                <w:szCs w:val="20"/>
              </w:rPr>
              <w:t>Обеспеченность муниципальных образовательных учреждений профессиональными кадрами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процентов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92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93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94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95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98</w:t>
            </w:r>
          </w:p>
        </w:tc>
        <w:tc>
          <w:tcPr>
            <w:tcW w:w="1123" w:type="dxa"/>
          </w:tcPr>
          <w:p w:rsidR="009C1570" w:rsidRPr="00515019" w:rsidRDefault="009C1570" w:rsidP="000D6A20">
            <w:r w:rsidRPr="00515019">
              <w:t>100</w:t>
            </w:r>
          </w:p>
        </w:tc>
        <w:tc>
          <w:tcPr>
            <w:tcW w:w="3094" w:type="dxa"/>
          </w:tcPr>
          <w:p w:rsidR="009C1570" w:rsidRPr="00515019" w:rsidRDefault="009C1570" w:rsidP="000D6A20">
            <w:r w:rsidRPr="00515019">
              <w:t>Решение Думы Североуральского городского округа от 17.08.2016 N 61</w:t>
            </w:r>
          </w:p>
          <w:p w:rsidR="009C1570" w:rsidRPr="00515019" w:rsidRDefault="009C1570" w:rsidP="000D6A20">
            <w:r w:rsidRPr="00515019">
              <w:t>"Об утверждении Положения об Управлении образования Администрации Североуральского городского округа" (далее – Положение)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45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 xml:space="preserve">Подпрограмма 3 </w:t>
            </w:r>
            <w:r w:rsidRPr="00F177F3">
              <w:t>"Обеспечение реализации муниципальной программы Североуральского городского округа "Развитие системы образования в Североуральского городского округа до 2024 года"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46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>
              <w:t>Цель 1</w:t>
            </w:r>
            <w:r w:rsidRPr="000F5B3B">
              <w:t xml:space="preserve"> </w:t>
            </w:r>
            <w:r>
              <w:t>«Обеспечение исполнения полномочий, которыми наделено Управление образования Администрации Североуральского городского округа»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47</w:t>
            </w:r>
          </w:p>
        </w:tc>
        <w:tc>
          <w:tcPr>
            <w:tcW w:w="14352" w:type="dxa"/>
            <w:gridSpan w:val="9"/>
          </w:tcPr>
          <w:p w:rsidR="009C1570" w:rsidRPr="000F5B3B" w:rsidRDefault="009C1570" w:rsidP="000D6A20">
            <w:r w:rsidRPr="000F5B3B">
              <w:t xml:space="preserve">Задача 1 </w:t>
            </w:r>
            <w:r>
              <w:t>«Осуществление полномочий Управления образования Администрации Североуральского городского округа»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48</w:t>
            </w:r>
          </w:p>
        </w:tc>
        <w:tc>
          <w:tcPr>
            <w:tcW w:w="3397" w:type="dxa"/>
          </w:tcPr>
          <w:p w:rsidR="009C1570" w:rsidRPr="00BE0001" w:rsidRDefault="009C1570" w:rsidP="000D6A20">
            <w:pPr>
              <w:adjustRightInd w:val="0"/>
            </w:pPr>
            <w:r w:rsidRPr="00BE0001">
              <w:t>Целевой показатель 1</w:t>
            </w:r>
          </w:p>
          <w:p w:rsidR="009C1570" w:rsidRDefault="009C1570" w:rsidP="000D6A20">
            <w:pPr>
              <w:adjustRightInd w:val="0"/>
            </w:pPr>
            <w:r>
              <w:t xml:space="preserve">Доля целевых показателей муниципальной программы "Развитие системы образования Североуральского городского округа до 2024 года", значения которых </w:t>
            </w:r>
            <w:r>
              <w:lastRenderedPageBreak/>
              <w:t>достигли или превысили запланированные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lastRenderedPageBreak/>
              <w:t>процент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100,0</w:t>
            </w:r>
          </w:p>
        </w:tc>
        <w:tc>
          <w:tcPr>
            <w:tcW w:w="3094" w:type="dxa"/>
          </w:tcPr>
          <w:p w:rsidR="009C1570" w:rsidRPr="00FB558C" w:rsidRDefault="009C1570" w:rsidP="000D6A20">
            <w:r w:rsidRPr="00FB558C">
              <w:t>Настоящая муниципальная программа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lastRenderedPageBreak/>
              <w:t>49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 xml:space="preserve">Целевой показатель </w:t>
            </w:r>
            <w:r>
              <w:t>2</w:t>
            </w:r>
          </w:p>
          <w:p w:rsidR="009C1570" w:rsidRDefault="009C1570" w:rsidP="000D6A20">
            <w:r>
              <w:t xml:space="preserve">Доля муниципальных учреждений, в которых проведен мониторинг </w:t>
            </w:r>
            <w:r w:rsidRPr="00F471DF">
              <w:t xml:space="preserve">результатов </w:t>
            </w:r>
            <w:r>
              <w:t xml:space="preserve">выполнения муниципального задания </w:t>
            </w:r>
          </w:p>
        </w:tc>
        <w:tc>
          <w:tcPr>
            <w:tcW w:w="1123" w:type="dxa"/>
          </w:tcPr>
          <w:p w:rsidR="009C1570" w:rsidRDefault="009C1570" w:rsidP="000D6A20">
            <w:r>
              <w:t>процент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1123" w:type="dxa"/>
          </w:tcPr>
          <w:p w:rsidR="009C1570" w:rsidRDefault="009C1570" w:rsidP="000D6A20">
            <w:r w:rsidRPr="00434C53">
              <w:t>100,0</w:t>
            </w:r>
          </w:p>
        </w:tc>
        <w:tc>
          <w:tcPr>
            <w:tcW w:w="3094" w:type="dxa"/>
          </w:tcPr>
          <w:p w:rsidR="009C1570" w:rsidRPr="00515019" w:rsidRDefault="009C1570" w:rsidP="000D6A20">
            <w:pPr>
              <w:jc w:val="both"/>
            </w:pPr>
            <w:r>
              <w:t>Положение</w:t>
            </w:r>
          </w:p>
        </w:tc>
      </w:tr>
      <w:tr w:rsidR="009C1570" w:rsidRPr="00F66F3E" w:rsidTr="009C1570">
        <w:tc>
          <w:tcPr>
            <w:tcW w:w="993" w:type="dxa"/>
          </w:tcPr>
          <w:p w:rsidR="009C1570" w:rsidRPr="000F5B3B" w:rsidRDefault="009C1570" w:rsidP="000D6A20">
            <w:pPr>
              <w:jc w:val="center"/>
            </w:pPr>
            <w:r>
              <w:t>50</w:t>
            </w:r>
          </w:p>
        </w:tc>
        <w:tc>
          <w:tcPr>
            <w:tcW w:w="3397" w:type="dxa"/>
          </w:tcPr>
          <w:p w:rsidR="009C1570" w:rsidRPr="00BE0001" w:rsidRDefault="009C1570" w:rsidP="000D6A20">
            <w:r w:rsidRPr="00BE0001">
              <w:t>Целевой показатель</w:t>
            </w:r>
            <w:r>
              <w:t xml:space="preserve"> 3</w:t>
            </w:r>
          </w:p>
          <w:p w:rsidR="009C1570" w:rsidRPr="00F60049" w:rsidRDefault="009C1570" w:rsidP="000D6A20">
            <w:r w:rsidRPr="00F60049">
              <w:t xml:space="preserve">Количество контрольных мероприятий, проведенных в отчетном периоде                      </w:t>
            </w:r>
          </w:p>
        </w:tc>
        <w:tc>
          <w:tcPr>
            <w:tcW w:w="1123" w:type="dxa"/>
          </w:tcPr>
          <w:p w:rsidR="009C1570" w:rsidRDefault="009C1570" w:rsidP="000D6A20">
            <w:r>
              <w:t>единиц</w:t>
            </w:r>
          </w:p>
        </w:tc>
        <w:tc>
          <w:tcPr>
            <w:tcW w:w="1123" w:type="dxa"/>
          </w:tcPr>
          <w:p w:rsidR="009C1570" w:rsidRPr="000F5B3B" w:rsidRDefault="009C1570" w:rsidP="000D6A20">
            <w:r>
              <w:t>5</w:t>
            </w:r>
          </w:p>
        </w:tc>
        <w:tc>
          <w:tcPr>
            <w:tcW w:w="1123" w:type="dxa"/>
          </w:tcPr>
          <w:p w:rsidR="009C1570" w:rsidRDefault="009C1570" w:rsidP="000D6A20">
            <w:r w:rsidRPr="00CA5C7B">
              <w:t>5</w:t>
            </w:r>
          </w:p>
        </w:tc>
        <w:tc>
          <w:tcPr>
            <w:tcW w:w="1123" w:type="dxa"/>
          </w:tcPr>
          <w:p w:rsidR="009C1570" w:rsidRDefault="009C1570" w:rsidP="000D6A20">
            <w:r w:rsidRPr="00CA5C7B">
              <w:t>5</w:t>
            </w:r>
          </w:p>
        </w:tc>
        <w:tc>
          <w:tcPr>
            <w:tcW w:w="1123" w:type="dxa"/>
          </w:tcPr>
          <w:p w:rsidR="009C1570" w:rsidRDefault="009C1570" w:rsidP="000D6A20">
            <w:r w:rsidRPr="00CA5C7B">
              <w:t>5</w:t>
            </w:r>
          </w:p>
        </w:tc>
        <w:tc>
          <w:tcPr>
            <w:tcW w:w="1123" w:type="dxa"/>
          </w:tcPr>
          <w:p w:rsidR="009C1570" w:rsidRDefault="009C1570" w:rsidP="000D6A20">
            <w:r w:rsidRPr="00CA5C7B">
              <w:t>5</w:t>
            </w:r>
          </w:p>
        </w:tc>
        <w:tc>
          <w:tcPr>
            <w:tcW w:w="1123" w:type="dxa"/>
          </w:tcPr>
          <w:p w:rsidR="009C1570" w:rsidRDefault="009C1570" w:rsidP="000D6A20">
            <w:r w:rsidRPr="00CA5C7B">
              <w:t>5</w:t>
            </w:r>
          </w:p>
        </w:tc>
        <w:tc>
          <w:tcPr>
            <w:tcW w:w="3094" w:type="dxa"/>
          </w:tcPr>
          <w:p w:rsidR="009C1570" w:rsidRDefault="009C1570" w:rsidP="000D6A20">
            <w:r>
              <w:t>Положение</w:t>
            </w:r>
          </w:p>
        </w:tc>
      </w:tr>
    </w:tbl>
    <w:p w:rsidR="009C1570" w:rsidRPr="00704650" w:rsidRDefault="009C1570" w:rsidP="009C1570">
      <w:pPr>
        <w:jc w:val="both"/>
        <w:rPr>
          <w:sz w:val="24"/>
          <w:szCs w:val="24"/>
        </w:rPr>
      </w:pPr>
    </w:p>
    <w:p w:rsidR="00171F26" w:rsidRDefault="00171F26"/>
    <w:sectPr w:rsidR="00171F26" w:rsidSect="009C1570">
      <w:headerReference w:type="default" r:id="rId6"/>
      <w:pgSz w:w="16838" w:h="11906" w:orient="landscape"/>
      <w:pgMar w:top="1379" w:right="1245" w:bottom="850" w:left="1418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0" w:rsidRDefault="00414930" w:rsidP="009C1570">
      <w:r>
        <w:separator/>
      </w:r>
    </w:p>
  </w:endnote>
  <w:endnote w:type="continuationSeparator" w:id="0">
    <w:p w:rsidR="00414930" w:rsidRDefault="00414930" w:rsidP="009C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0" w:rsidRDefault="00414930" w:rsidP="009C1570">
      <w:r>
        <w:separator/>
      </w:r>
    </w:p>
  </w:footnote>
  <w:footnote w:type="continuationSeparator" w:id="0">
    <w:p w:rsidR="00414930" w:rsidRDefault="00414930" w:rsidP="009C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15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1570" w:rsidRPr="009C1570" w:rsidRDefault="009C15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5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5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5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9C15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570" w:rsidRDefault="009C1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1"/>
    <w:rsid w:val="00171F26"/>
    <w:rsid w:val="00414930"/>
    <w:rsid w:val="009C1570"/>
    <w:rsid w:val="00D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974C6-A48B-4128-919D-E30A9D4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7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1570"/>
  </w:style>
  <w:style w:type="paragraph" w:styleId="a5">
    <w:name w:val="footer"/>
    <w:basedOn w:val="a"/>
    <w:link w:val="a6"/>
    <w:uiPriority w:val="99"/>
    <w:unhideWhenUsed/>
    <w:rsid w:val="009C157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1570"/>
  </w:style>
  <w:style w:type="paragraph" w:styleId="a7">
    <w:name w:val="No Spacing"/>
    <w:uiPriority w:val="1"/>
    <w:qFormat/>
    <w:rsid w:val="009C15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1744</Words>
  <Characters>9942</Characters>
  <Application>Microsoft Office Word</Application>
  <DocSecurity>0</DocSecurity>
  <Lines>82</Lines>
  <Paragraphs>23</Paragraphs>
  <ScaleCrop>false</ScaleCrop>
  <Company>diakov.net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2</cp:revision>
  <dcterms:created xsi:type="dcterms:W3CDTF">2018-09-21T04:19:00Z</dcterms:created>
  <dcterms:modified xsi:type="dcterms:W3CDTF">2018-09-21T04:22:00Z</dcterms:modified>
</cp:coreProperties>
</file>