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1E" w:rsidRPr="005C0C40" w:rsidRDefault="00B8531E" w:rsidP="00B8531E">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Справка</w:t>
      </w:r>
    </w:p>
    <w:p w:rsidR="00B8531E" w:rsidRPr="005C0C40" w:rsidRDefault="00B8531E" w:rsidP="00B8531E">
      <w:pPr>
        <w:pStyle w:val="Standard"/>
        <w:widowControl/>
        <w:ind w:left="-567"/>
        <w:jc w:val="center"/>
        <w:rPr>
          <w:rFonts w:ascii="Times New Roman" w:hAnsi="Times New Roman" w:cs="Times New Roman"/>
          <w:b/>
          <w:sz w:val="22"/>
          <w:szCs w:val="22"/>
        </w:rPr>
      </w:pPr>
      <w:r w:rsidRPr="005C0C40">
        <w:rPr>
          <w:rFonts w:ascii="Times New Roman" w:hAnsi="Times New Roman" w:cs="Times New Roman"/>
          <w:b/>
          <w:sz w:val="22"/>
          <w:szCs w:val="22"/>
        </w:rPr>
        <w:t xml:space="preserve"> о работе Административной комиссии Североуральского городского округа </w:t>
      </w:r>
    </w:p>
    <w:p w:rsidR="00B8531E" w:rsidRPr="005C0C40" w:rsidRDefault="006403D4" w:rsidP="00B8531E">
      <w:pPr>
        <w:pStyle w:val="Standard"/>
        <w:widowControl/>
        <w:ind w:left="-567"/>
        <w:jc w:val="center"/>
        <w:rPr>
          <w:rFonts w:ascii="Times New Roman" w:hAnsi="Times New Roman" w:cs="Times New Roman"/>
          <w:b/>
          <w:sz w:val="22"/>
          <w:szCs w:val="22"/>
        </w:rPr>
      </w:pPr>
      <w:r>
        <w:rPr>
          <w:rFonts w:ascii="Times New Roman" w:hAnsi="Times New Roman" w:cs="Times New Roman"/>
          <w:b/>
          <w:sz w:val="22"/>
          <w:szCs w:val="22"/>
        </w:rPr>
        <w:t>по итогам 1квартала 2022</w:t>
      </w:r>
      <w:bookmarkStart w:id="0" w:name="_GoBack"/>
      <w:bookmarkEnd w:id="0"/>
      <w:r w:rsidR="00B8531E" w:rsidRPr="005C0C40">
        <w:rPr>
          <w:rFonts w:ascii="Times New Roman" w:hAnsi="Times New Roman" w:cs="Times New Roman"/>
          <w:b/>
          <w:sz w:val="22"/>
          <w:szCs w:val="22"/>
        </w:rPr>
        <w:t>года.</w:t>
      </w:r>
    </w:p>
    <w:p w:rsidR="00B8531E" w:rsidRPr="005C0C40" w:rsidRDefault="00B8531E" w:rsidP="00B8531E">
      <w:pPr>
        <w:pStyle w:val="Standard"/>
        <w:widowControl/>
        <w:ind w:left="-567"/>
        <w:jc w:val="both"/>
        <w:rPr>
          <w:rFonts w:ascii="Times New Roman" w:hAnsi="Times New Roman" w:cs="Times New Roman"/>
          <w:sz w:val="20"/>
          <w:szCs w:val="20"/>
        </w:rPr>
      </w:pPr>
    </w:p>
    <w:p w:rsidR="00B8531E" w:rsidRPr="005C0C40" w:rsidRDefault="00B8531E" w:rsidP="00B8531E">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Административная комиссия Североуральского городского округа была создана и утверждена Постановлением Администрации Североуральского городского округа от 18.10.2011г №1452 «Об административной комиссии Североуральского городского округа». Председателем административной </w:t>
      </w:r>
      <w:r>
        <w:rPr>
          <w:rFonts w:ascii="Times New Roman" w:hAnsi="Times New Roman" w:cs="Times New Roman"/>
          <w:sz w:val="20"/>
          <w:szCs w:val="20"/>
        </w:rPr>
        <w:t xml:space="preserve">комиссии утвержден В.П. Матюшенко. </w:t>
      </w:r>
      <w:r w:rsidRPr="005C0C40">
        <w:rPr>
          <w:rFonts w:ascii="Times New Roman" w:hAnsi="Times New Roman" w:cs="Times New Roman"/>
          <w:sz w:val="20"/>
          <w:szCs w:val="20"/>
        </w:rPr>
        <w:t xml:space="preserve"> В состав комиссии входят сотрудники Администрации, представители общественных формирований и представитель органов внутренних дел, депутат Городской думы Североуральского городского округа.</w:t>
      </w:r>
    </w:p>
    <w:p w:rsidR="00B8531E" w:rsidRPr="005C0C40" w:rsidRDefault="00B8531E" w:rsidP="00B8531E">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Административная комиссия рассматривает дела об административных правонарушениях, протоколы, которые составлены должностными лицами органов местного самоуправления. Перечень должностных лиц органов местного самоуправления Североуральского городского округа, уполномоченных составлять протоколы об административных правонарушениях на территории Североуральского городского округа в соответствии с Законом Свердловской области от 14.06.2005года № 52-ОЗ «Об административных правонарушениях на территории Свердловской области» утвержден Решением Думы Североуральского</w:t>
      </w:r>
      <w:r>
        <w:rPr>
          <w:rFonts w:ascii="Times New Roman" w:hAnsi="Times New Roman" w:cs="Times New Roman"/>
          <w:sz w:val="20"/>
          <w:szCs w:val="20"/>
        </w:rPr>
        <w:t xml:space="preserve"> городского округа от 28 марта 2018г № 17</w:t>
      </w:r>
      <w:r w:rsidRPr="005C0C40">
        <w:rPr>
          <w:rFonts w:ascii="Times New Roman" w:hAnsi="Times New Roman" w:cs="Times New Roman"/>
          <w:sz w:val="20"/>
          <w:szCs w:val="20"/>
        </w:rPr>
        <w:t>.</w:t>
      </w:r>
    </w:p>
    <w:p w:rsidR="00B8531E" w:rsidRDefault="00B8531E" w:rsidP="00B8531E">
      <w:pPr>
        <w:pStyle w:val="Standard"/>
        <w:widowControl/>
        <w:ind w:left="-567"/>
        <w:jc w:val="both"/>
        <w:rPr>
          <w:rFonts w:ascii="Times New Roman" w:hAnsi="Times New Roman" w:cs="Times New Roman"/>
          <w:b/>
          <w:bCs/>
          <w:sz w:val="20"/>
          <w:szCs w:val="20"/>
        </w:rPr>
      </w:pPr>
      <w:r>
        <w:rPr>
          <w:rFonts w:ascii="Times New Roman" w:hAnsi="Times New Roman" w:cs="Times New Roman"/>
          <w:sz w:val="20"/>
          <w:szCs w:val="20"/>
        </w:rPr>
        <w:t xml:space="preserve">  Административной комиссией Североуральского городско</w:t>
      </w:r>
      <w:r w:rsidR="00A5336F">
        <w:rPr>
          <w:rFonts w:ascii="Times New Roman" w:hAnsi="Times New Roman" w:cs="Times New Roman"/>
          <w:sz w:val="20"/>
          <w:szCs w:val="20"/>
        </w:rPr>
        <w:t>го округа за первый квартал 202</w:t>
      </w:r>
      <w:r w:rsidR="00A5336F" w:rsidRPr="00A5336F">
        <w:rPr>
          <w:rFonts w:ascii="Times New Roman" w:hAnsi="Times New Roman" w:cs="Times New Roman"/>
          <w:sz w:val="20"/>
          <w:szCs w:val="20"/>
        </w:rPr>
        <w:t>2</w:t>
      </w:r>
      <w:r>
        <w:rPr>
          <w:rFonts w:ascii="Times New Roman" w:hAnsi="Times New Roman" w:cs="Times New Roman"/>
          <w:sz w:val="20"/>
          <w:szCs w:val="20"/>
        </w:rPr>
        <w:t xml:space="preserve">г проведено </w:t>
      </w:r>
      <w:r w:rsidR="002767BC">
        <w:rPr>
          <w:rFonts w:ascii="Times New Roman" w:hAnsi="Times New Roman" w:cs="Times New Roman"/>
          <w:sz w:val="20"/>
          <w:szCs w:val="20"/>
        </w:rPr>
        <w:t xml:space="preserve">10 заседаний </w:t>
      </w:r>
      <w:r w:rsidR="002767BC" w:rsidRPr="005C0C40">
        <w:rPr>
          <w:rFonts w:ascii="Times New Roman" w:hAnsi="Times New Roman" w:cs="Times New Roman"/>
          <w:sz w:val="20"/>
          <w:szCs w:val="20"/>
        </w:rPr>
        <w:t>административной</w:t>
      </w:r>
      <w:r w:rsidRPr="005C0C40">
        <w:rPr>
          <w:rFonts w:ascii="Times New Roman" w:hAnsi="Times New Roman" w:cs="Times New Roman"/>
          <w:sz w:val="20"/>
          <w:szCs w:val="20"/>
        </w:rPr>
        <w:t xml:space="preserve"> комиссии. </w:t>
      </w:r>
      <w:r w:rsidR="00A5336F">
        <w:rPr>
          <w:rFonts w:ascii="Times New Roman" w:hAnsi="Times New Roman" w:cs="Times New Roman"/>
          <w:sz w:val="20"/>
          <w:szCs w:val="20"/>
        </w:rPr>
        <w:t>Поступило на рассмотрение 3</w:t>
      </w:r>
      <w:r>
        <w:rPr>
          <w:rFonts w:ascii="Times New Roman" w:hAnsi="Times New Roman" w:cs="Times New Roman"/>
          <w:sz w:val="20"/>
          <w:szCs w:val="20"/>
        </w:rPr>
        <w:t xml:space="preserve"> протокола, рассмотрено 32 протокол</w:t>
      </w:r>
      <w:r w:rsidRPr="005C0C40">
        <w:rPr>
          <w:rFonts w:ascii="Times New Roman" w:hAnsi="Times New Roman" w:cs="Times New Roman"/>
          <w:sz w:val="20"/>
          <w:szCs w:val="20"/>
        </w:rPr>
        <w:t>, из них</w:t>
      </w:r>
      <w:r w:rsidRPr="005C0C40">
        <w:rPr>
          <w:rFonts w:ascii="Times New Roman" w:hAnsi="Times New Roman" w:cs="Times New Roman"/>
          <w:b/>
          <w:bCs/>
          <w:sz w:val="20"/>
          <w:szCs w:val="20"/>
        </w:rPr>
        <w:t xml:space="preserve">:  </w:t>
      </w:r>
    </w:p>
    <w:p w:rsidR="002767BC" w:rsidRDefault="002767BC" w:rsidP="00B8531E">
      <w:pPr>
        <w:pStyle w:val="Standard"/>
        <w:widowControl/>
        <w:ind w:left="-567"/>
        <w:jc w:val="both"/>
        <w:rPr>
          <w:rFonts w:ascii="Times New Roman" w:hAnsi="Times New Roman" w:cs="Times New Roman"/>
          <w:b/>
          <w:bCs/>
          <w:sz w:val="20"/>
          <w:szCs w:val="20"/>
        </w:rPr>
      </w:pPr>
    </w:p>
    <w:p w:rsidR="002767BC" w:rsidRPr="005C0C40" w:rsidRDefault="002767BC" w:rsidP="002767BC">
      <w:pPr>
        <w:pStyle w:val="Standard"/>
        <w:widowControl/>
        <w:jc w:val="both"/>
        <w:rPr>
          <w:rFonts w:ascii="Times New Roman" w:hAnsi="Times New Roman" w:cs="Times New Roman"/>
          <w:sz w:val="20"/>
          <w:szCs w:val="20"/>
        </w:rPr>
      </w:pPr>
    </w:p>
    <w:tbl>
      <w:tblPr>
        <w:tblW w:w="9630" w:type="dxa"/>
        <w:tblInd w:w="45" w:type="dxa"/>
        <w:tblLayout w:type="fixed"/>
        <w:tblCellMar>
          <w:left w:w="10" w:type="dxa"/>
          <w:right w:w="10" w:type="dxa"/>
        </w:tblCellMar>
        <w:tblLook w:val="04A0" w:firstRow="1" w:lastRow="0" w:firstColumn="1" w:lastColumn="0" w:noHBand="0" w:noVBand="1"/>
      </w:tblPr>
      <w:tblGrid>
        <w:gridCol w:w="7323"/>
        <w:gridCol w:w="861"/>
        <w:gridCol w:w="873"/>
        <w:gridCol w:w="573"/>
      </w:tblGrid>
      <w:tr w:rsidR="002767BC" w:rsidRPr="005C0C40" w:rsidTr="0039382F">
        <w:tc>
          <w:tcPr>
            <w:tcW w:w="7323"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Наименование и № статьи Закона №52-ОЗ</w:t>
            </w:r>
          </w:p>
        </w:tc>
        <w:tc>
          <w:tcPr>
            <w:tcW w:w="861" w:type="dxa"/>
            <w:tcBorders>
              <w:top w:val="single" w:sz="2" w:space="0" w:color="000000"/>
              <w:left w:val="single" w:sz="2" w:space="0" w:color="000000"/>
              <w:bottom w:val="single" w:sz="2" w:space="0" w:color="000000"/>
              <w:right w:val="nil"/>
            </w:tcBorders>
            <w:tcMar>
              <w:top w:w="55" w:type="dxa"/>
              <w:left w:w="55" w:type="dxa"/>
              <w:bottom w:w="55" w:type="dxa"/>
              <w:right w:w="55" w:type="dxa"/>
            </w:tcMar>
            <w:hideMark/>
          </w:tcPr>
          <w:p w:rsidR="002767BC" w:rsidRPr="005C0C40" w:rsidRDefault="00A5336F"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Кол-во 202</w:t>
            </w:r>
            <w:r>
              <w:rPr>
                <w:rFonts w:ascii="Times New Roman" w:hAnsi="Times New Roman" w:cs="Times New Roman"/>
                <w:b/>
                <w:sz w:val="20"/>
                <w:szCs w:val="20"/>
                <w:lang w:val="en-US"/>
              </w:rPr>
              <w:t>2</w:t>
            </w:r>
            <w:r w:rsidR="002767BC" w:rsidRPr="005C0C40">
              <w:rPr>
                <w:rFonts w:ascii="Times New Roman" w:hAnsi="Times New Roman" w:cs="Times New Roman"/>
                <w:b/>
                <w:sz w:val="20"/>
                <w:szCs w:val="20"/>
              </w:rPr>
              <w:t>год</w:t>
            </w:r>
            <w:r w:rsidR="002767BC">
              <w:rPr>
                <w:rFonts w:ascii="Times New Roman" w:hAnsi="Times New Roman" w:cs="Times New Roman"/>
                <w:b/>
                <w:sz w:val="20"/>
                <w:szCs w:val="20"/>
              </w:rPr>
              <w:t xml:space="preserve"> 1кв</w:t>
            </w:r>
            <w:r w:rsidR="002767BC" w:rsidRPr="005C0C40">
              <w:rPr>
                <w:rFonts w:ascii="Times New Roman" w:hAnsi="Times New Roman" w:cs="Times New Roman"/>
                <w:b/>
                <w:sz w:val="20"/>
                <w:szCs w:val="20"/>
              </w:rPr>
              <w:t>.</w:t>
            </w:r>
          </w:p>
        </w:tc>
        <w:tc>
          <w:tcPr>
            <w:tcW w:w="873" w:type="dxa"/>
            <w:tcBorders>
              <w:top w:val="single" w:sz="2" w:space="0" w:color="000000"/>
              <w:left w:val="single" w:sz="2" w:space="0" w:color="000000"/>
              <w:bottom w:val="single" w:sz="2" w:space="0" w:color="000000"/>
              <w:right w:val="single" w:sz="4" w:space="0" w:color="auto"/>
            </w:tcBorders>
            <w:tcMar>
              <w:top w:w="55" w:type="dxa"/>
              <w:left w:w="55" w:type="dxa"/>
              <w:bottom w:w="55" w:type="dxa"/>
              <w:right w:w="55" w:type="dxa"/>
            </w:tcMar>
            <w:hideMark/>
          </w:tcPr>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Кол-во</w:t>
            </w:r>
          </w:p>
          <w:p w:rsidR="002767BC" w:rsidRPr="005C0C40" w:rsidRDefault="00A5336F"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2021</w:t>
            </w:r>
            <w:r w:rsidR="002767BC" w:rsidRPr="005C0C40">
              <w:rPr>
                <w:rFonts w:ascii="Times New Roman" w:hAnsi="Times New Roman" w:cs="Times New Roman"/>
                <w:b/>
                <w:sz w:val="20"/>
                <w:szCs w:val="20"/>
              </w:rPr>
              <w:t>год</w:t>
            </w:r>
          </w:p>
          <w:p w:rsidR="002767BC" w:rsidRPr="005C0C40" w:rsidRDefault="002767BC" w:rsidP="0039382F">
            <w:pPr>
              <w:pStyle w:val="TableContents"/>
              <w:spacing w:line="276" w:lineRule="auto"/>
              <w:jc w:val="both"/>
              <w:rPr>
                <w:rFonts w:ascii="Times New Roman" w:hAnsi="Times New Roman" w:cs="Times New Roman"/>
                <w:b/>
                <w:sz w:val="20"/>
                <w:szCs w:val="20"/>
              </w:rPr>
            </w:pPr>
            <w:r>
              <w:rPr>
                <w:rFonts w:ascii="Times New Roman" w:hAnsi="Times New Roman" w:cs="Times New Roman"/>
                <w:b/>
                <w:sz w:val="20"/>
                <w:szCs w:val="20"/>
              </w:rPr>
              <w:t>1кв</w:t>
            </w:r>
            <w:r w:rsidRPr="005C0C40">
              <w:rPr>
                <w:rFonts w:ascii="Times New Roman" w:hAnsi="Times New Roman" w:cs="Times New Roman"/>
                <w:b/>
                <w:sz w:val="20"/>
                <w:szCs w:val="20"/>
              </w:rPr>
              <w:t>.</w:t>
            </w:r>
          </w:p>
        </w:tc>
        <w:tc>
          <w:tcPr>
            <w:tcW w:w="573" w:type="dxa"/>
            <w:tcBorders>
              <w:top w:val="single" w:sz="2" w:space="0" w:color="000000"/>
              <w:left w:val="single" w:sz="4" w:space="0" w:color="auto"/>
              <w:bottom w:val="single" w:sz="2" w:space="0" w:color="000000"/>
              <w:right w:val="single" w:sz="2" w:space="0" w:color="000000"/>
            </w:tcBorders>
          </w:tcPr>
          <w:p w:rsidR="002767BC" w:rsidRPr="005C0C40" w:rsidRDefault="002767BC" w:rsidP="0039382F">
            <w:pPr>
              <w:suppressAutoHyphens w:val="0"/>
              <w:autoSpaceDN/>
              <w:spacing w:after="160" w:line="259" w:lineRule="auto"/>
              <w:rPr>
                <w:rFonts w:ascii="Times New Roman" w:hAnsi="Times New Roman" w:cs="Times New Roman"/>
                <w:b/>
                <w:color w:val="000000"/>
                <w:sz w:val="20"/>
                <w:szCs w:val="20"/>
                <w:lang w:eastAsia="en-US" w:bidi="en-US"/>
              </w:rPr>
            </w:pPr>
            <w:r w:rsidRPr="005C0C40">
              <w:rPr>
                <w:rFonts w:ascii="Times New Roman" w:hAnsi="Times New Roman" w:cs="Times New Roman"/>
                <w:b/>
                <w:color w:val="000000"/>
                <w:sz w:val="20"/>
                <w:szCs w:val="20"/>
                <w:lang w:eastAsia="en-US" w:bidi="en-US"/>
              </w:rPr>
              <w:t xml:space="preserve">   +</w:t>
            </w:r>
          </w:p>
          <w:p w:rsidR="002767BC" w:rsidRPr="005C0C40" w:rsidRDefault="002767BC" w:rsidP="0039382F">
            <w:pPr>
              <w:pStyle w:val="TableContents"/>
              <w:spacing w:line="276" w:lineRule="auto"/>
              <w:jc w:val="both"/>
              <w:rPr>
                <w:rFonts w:ascii="Times New Roman" w:hAnsi="Times New Roman" w:cs="Times New Roman"/>
                <w:b/>
                <w:sz w:val="20"/>
                <w:szCs w:val="20"/>
              </w:rPr>
            </w:pPr>
            <w:r w:rsidRPr="005C0C40">
              <w:rPr>
                <w:rFonts w:ascii="Times New Roman" w:hAnsi="Times New Roman" w:cs="Times New Roman"/>
                <w:b/>
                <w:sz w:val="20"/>
                <w:szCs w:val="20"/>
              </w:rPr>
              <w:t xml:space="preserve">   -</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tabs>
                <w:tab w:val="left" w:pos="90"/>
              </w:tabs>
              <w:spacing w:line="276" w:lineRule="auto"/>
              <w:jc w:val="both"/>
              <w:rPr>
                <w:rFonts w:ascii="Times New Roman" w:hAnsi="Times New Roman" w:cs="Times New Roman"/>
                <w:sz w:val="20"/>
                <w:szCs w:val="20"/>
              </w:rPr>
            </w:pPr>
            <w:r>
              <w:rPr>
                <w:rFonts w:ascii="Times New Roman" w:hAnsi="Times New Roman" w:cs="Times New Roman"/>
                <w:sz w:val="20"/>
                <w:szCs w:val="20"/>
              </w:rPr>
              <w:t xml:space="preserve">Нарушение отдельных требований, установленных правилами благоустройства населенных пунктов. </w:t>
            </w:r>
            <w:r w:rsidRPr="005C0C40">
              <w:rPr>
                <w:rFonts w:ascii="Times New Roman" w:hAnsi="Times New Roman" w:cs="Times New Roman"/>
                <w:sz w:val="20"/>
                <w:szCs w:val="20"/>
              </w:rPr>
              <w:t xml:space="preserve"> (ст. 17 ч 1),</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A5336F" w:rsidRDefault="00A5336F" w:rsidP="00A5336F">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lang w:val="en-US"/>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26</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w:t>
            </w:r>
            <w:r>
              <w:rPr>
                <w:rFonts w:ascii="Times New Roman" w:hAnsi="Times New Roman" w:cs="Times New Roman"/>
                <w:sz w:val="20"/>
                <w:szCs w:val="20"/>
                <w:lang w:val="en-US"/>
              </w:rPr>
              <w:t>2</w:t>
            </w:r>
            <w:r>
              <w:rPr>
                <w:rFonts w:ascii="Times New Roman" w:hAnsi="Times New Roman" w:cs="Times New Roman"/>
                <w:sz w:val="20"/>
                <w:szCs w:val="20"/>
              </w:rPr>
              <w:t>6</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Невыполнение в установленный срок законного предписания органа местного самоуправления или должностного лица местного самоуправления. Ст. 33</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правил землепользования и застройки (ст.9)</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A5336F" w:rsidRDefault="00A5336F" w:rsidP="00A5336F">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-2</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нарушением правил торговли (ст. 10),</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5336F" w:rsidRPr="00A5336F" w:rsidRDefault="00A5336F" w:rsidP="00A5336F">
            <w:pPr>
              <w:pStyle w:val="TableContents"/>
              <w:jc w:val="both"/>
              <w:rPr>
                <w:rFonts w:ascii="Times New Roman" w:hAnsi="Times New Roman" w:cs="Times New Roman"/>
                <w:sz w:val="20"/>
                <w:szCs w:val="20"/>
                <w:lang w:val="en-US"/>
              </w:rPr>
            </w:pPr>
            <w:r>
              <w:rPr>
                <w:rFonts w:ascii="Times New Roman" w:hAnsi="Times New Roman" w:cs="Times New Roman"/>
                <w:sz w:val="20"/>
                <w:szCs w:val="20"/>
                <w:lang w:val="en-US"/>
              </w:rPr>
              <w:t>+1</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требований при обращении с отходами производства и потребления (ст.16)</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за нарушение ст. 13 (содержание фасадов),</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Совершение действий, нарушающих тишину (ст.37)</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5336F" w:rsidRPr="00A5336F" w:rsidRDefault="00A5336F" w:rsidP="00A5336F">
            <w:pPr>
              <w:pStyle w:val="TableContents"/>
              <w:jc w:val="both"/>
              <w:rPr>
                <w:rFonts w:ascii="Times New Roman" w:hAnsi="Times New Roman" w:cs="Times New Roman"/>
                <w:sz w:val="20"/>
                <w:szCs w:val="20"/>
                <w:lang w:val="en-US"/>
              </w:rPr>
            </w:pPr>
            <w:r>
              <w:rPr>
                <w:rFonts w:ascii="Times New Roman" w:hAnsi="Times New Roman" w:cs="Times New Roman"/>
                <w:sz w:val="20"/>
                <w:szCs w:val="20"/>
                <w:lang w:val="en-US"/>
              </w:rPr>
              <w:t>+2</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Нарушение правил </w:t>
            </w:r>
            <w:r>
              <w:rPr>
                <w:rFonts w:ascii="Times New Roman" w:hAnsi="Times New Roman" w:cs="Times New Roman"/>
                <w:sz w:val="20"/>
                <w:szCs w:val="20"/>
              </w:rPr>
              <w:t>содержания домашних животных ст. 38(данная статья отменена)</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 xml:space="preserve"> Самовольное переоборудование или изменение внешнего вида фасада либо его элементов    </w:t>
            </w:r>
            <w:r>
              <w:rPr>
                <w:rFonts w:ascii="Times New Roman" w:hAnsi="Times New Roman" w:cs="Times New Roman"/>
                <w:sz w:val="20"/>
                <w:szCs w:val="20"/>
              </w:rPr>
              <w:t xml:space="preserve">  </w:t>
            </w:r>
            <w:r w:rsidRPr="005C0C40">
              <w:rPr>
                <w:rFonts w:ascii="Times New Roman" w:hAnsi="Times New Roman" w:cs="Times New Roman"/>
                <w:sz w:val="20"/>
                <w:szCs w:val="20"/>
              </w:rPr>
              <w:t xml:space="preserve">  Ст. 12</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5336F" w:rsidRPr="005C0C40" w:rsidTr="0039382F">
        <w:trPr>
          <w:trHeight w:val="408"/>
        </w:trPr>
        <w:tc>
          <w:tcPr>
            <w:tcW w:w="7323" w:type="dxa"/>
            <w:tcBorders>
              <w:top w:val="nil"/>
              <w:left w:val="single" w:sz="2" w:space="0" w:color="000000"/>
              <w:bottom w:val="single" w:sz="4" w:space="0" w:color="auto"/>
              <w:right w:val="nil"/>
            </w:tcBorders>
            <w:tcMar>
              <w:top w:w="55" w:type="dxa"/>
              <w:left w:w="55" w:type="dxa"/>
              <w:bottom w:w="55" w:type="dxa"/>
              <w:right w:w="55" w:type="dxa"/>
            </w:tcMar>
          </w:tcPr>
          <w:p w:rsidR="00A5336F" w:rsidRPr="005C0C40" w:rsidRDefault="00A5336F" w:rsidP="00A5336F">
            <w:pPr>
              <w:pStyle w:val="Standard"/>
              <w:widowControl/>
              <w:spacing w:line="276" w:lineRule="auto"/>
              <w:jc w:val="both"/>
              <w:rPr>
                <w:rFonts w:ascii="Times New Roman" w:hAnsi="Times New Roman" w:cs="Times New Roman"/>
                <w:sz w:val="20"/>
                <w:szCs w:val="20"/>
              </w:rPr>
            </w:pPr>
            <w:r>
              <w:rPr>
                <w:rFonts w:ascii="Times New Roman" w:hAnsi="Times New Roman" w:cs="Times New Roman"/>
                <w:sz w:val="20"/>
                <w:szCs w:val="20"/>
              </w:rPr>
              <w:t>Самовольное размещение объявлений. Ст. 14</w:t>
            </w:r>
          </w:p>
        </w:tc>
        <w:tc>
          <w:tcPr>
            <w:tcW w:w="861" w:type="dxa"/>
            <w:tcBorders>
              <w:top w:val="nil"/>
              <w:left w:val="single" w:sz="2" w:space="0" w:color="000000"/>
              <w:bottom w:val="single" w:sz="4" w:space="0" w:color="auto"/>
              <w:right w:val="nil"/>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nil"/>
              <w:left w:val="single" w:sz="2" w:space="0" w:color="000000"/>
              <w:bottom w:val="single" w:sz="4" w:space="0" w:color="auto"/>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1</w:t>
            </w:r>
          </w:p>
        </w:tc>
        <w:tc>
          <w:tcPr>
            <w:tcW w:w="573" w:type="dxa"/>
            <w:tcBorders>
              <w:top w:val="nil"/>
              <w:left w:val="single" w:sz="4" w:space="0" w:color="auto"/>
              <w:bottom w:val="single" w:sz="4" w:space="0" w:color="auto"/>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-1</w:t>
            </w:r>
          </w:p>
        </w:tc>
      </w:tr>
      <w:tr w:rsidR="00A5336F" w:rsidRPr="005C0C40" w:rsidTr="0039382F">
        <w:trPr>
          <w:trHeight w:val="272"/>
        </w:trPr>
        <w:tc>
          <w:tcPr>
            <w:tcW w:w="7323"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5336F" w:rsidRPr="005C0C40" w:rsidRDefault="00A5336F" w:rsidP="00A5336F">
            <w:pPr>
              <w:pStyle w:val="Standard"/>
              <w:spacing w:line="276" w:lineRule="auto"/>
              <w:jc w:val="both"/>
              <w:rPr>
                <w:rFonts w:ascii="Times New Roman" w:hAnsi="Times New Roman" w:cs="Times New Roman"/>
                <w:sz w:val="20"/>
                <w:szCs w:val="20"/>
              </w:rPr>
            </w:pPr>
            <w:r>
              <w:rPr>
                <w:rFonts w:ascii="Times New Roman" w:hAnsi="Times New Roman" w:cs="Times New Roman"/>
                <w:sz w:val="20"/>
                <w:szCs w:val="20"/>
              </w:rPr>
              <w:t>Мойка транспортных средств в неустановленных местах. Ст.18</w:t>
            </w:r>
          </w:p>
        </w:tc>
        <w:tc>
          <w:tcPr>
            <w:tcW w:w="861" w:type="dxa"/>
            <w:tcBorders>
              <w:top w:val="single" w:sz="4" w:space="0" w:color="auto"/>
              <w:left w:val="single" w:sz="2" w:space="0" w:color="000000"/>
              <w:bottom w:val="single" w:sz="2" w:space="0" w:color="000000"/>
              <w:right w:val="nil"/>
            </w:tcBorders>
            <w:tcMar>
              <w:top w:w="55" w:type="dxa"/>
              <w:left w:w="55" w:type="dxa"/>
              <w:bottom w:w="55" w:type="dxa"/>
              <w:right w:w="55" w:type="dxa"/>
            </w:tcMar>
          </w:tcPr>
          <w:p w:rsidR="00A5336F"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873" w:type="dxa"/>
            <w:tcBorders>
              <w:top w:val="single" w:sz="4" w:space="0" w:color="auto"/>
              <w:left w:val="single" w:sz="2" w:space="0" w:color="000000"/>
              <w:bottom w:val="single" w:sz="2" w:space="0" w:color="000000"/>
              <w:right w:val="single" w:sz="4" w:space="0" w:color="auto"/>
            </w:tcBorders>
            <w:tcMar>
              <w:top w:w="55" w:type="dxa"/>
              <w:left w:w="55" w:type="dxa"/>
              <w:bottom w:w="55" w:type="dxa"/>
              <w:right w:w="55" w:type="dxa"/>
            </w:tcMar>
          </w:tcPr>
          <w:p w:rsidR="00A5336F"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0</w:t>
            </w:r>
          </w:p>
        </w:tc>
        <w:tc>
          <w:tcPr>
            <w:tcW w:w="573" w:type="dxa"/>
            <w:tcBorders>
              <w:top w:val="single" w:sz="4" w:space="0" w:color="auto"/>
              <w:left w:val="single" w:sz="4" w:space="0" w:color="auto"/>
              <w:bottom w:val="single" w:sz="2" w:space="0" w:color="000000"/>
              <w:right w:val="single" w:sz="2" w:space="0" w:color="000000"/>
            </w:tcBorders>
          </w:tcPr>
          <w:p w:rsidR="00A5336F" w:rsidRPr="005C0C40" w:rsidRDefault="00A5336F" w:rsidP="00A5336F">
            <w:pPr>
              <w:pStyle w:val="TableContents"/>
              <w:jc w:val="both"/>
              <w:rPr>
                <w:rFonts w:ascii="Times New Roman" w:hAnsi="Times New Roman" w:cs="Times New Roman"/>
                <w:sz w:val="20"/>
                <w:szCs w:val="20"/>
              </w:rPr>
            </w:pPr>
            <w:r>
              <w:rPr>
                <w:rFonts w:ascii="Times New Roman" w:hAnsi="Times New Roman" w:cs="Times New Roman"/>
                <w:sz w:val="20"/>
                <w:szCs w:val="20"/>
              </w:rPr>
              <w:t>0</w:t>
            </w:r>
          </w:p>
        </w:tc>
      </w:tr>
      <w:tr w:rsidR="00A5336F" w:rsidRPr="005C0C40" w:rsidTr="0039382F">
        <w:tc>
          <w:tcPr>
            <w:tcW w:w="7323" w:type="dxa"/>
            <w:tcBorders>
              <w:top w:val="nil"/>
              <w:left w:val="single" w:sz="2" w:space="0" w:color="000000"/>
              <w:bottom w:val="single" w:sz="2" w:space="0" w:color="000000"/>
              <w:right w:val="nil"/>
            </w:tcBorders>
            <w:tcMar>
              <w:top w:w="55" w:type="dxa"/>
              <w:left w:w="55" w:type="dxa"/>
              <w:bottom w:w="55" w:type="dxa"/>
              <w:right w:w="55" w:type="dxa"/>
            </w:tcMar>
            <w:hideMark/>
          </w:tcPr>
          <w:p w:rsidR="00A5336F" w:rsidRPr="005C0C40" w:rsidRDefault="00A5336F" w:rsidP="00A5336F">
            <w:pPr>
              <w:pStyle w:val="Standard"/>
              <w:widowControl/>
              <w:spacing w:line="276" w:lineRule="auto"/>
              <w:jc w:val="both"/>
              <w:rPr>
                <w:rFonts w:ascii="Times New Roman" w:hAnsi="Times New Roman" w:cs="Times New Roman"/>
                <w:sz w:val="20"/>
                <w:szCs w:val="20"/>
              </w:rPr>
            </w:pPr>
            <w:r w:rsidRPr="005C0C40">
              <w:rPr>
                <w:rFonts w:ascii="Times New Roman" w:hAnsi="Times New Roman" w:cs="Times New Roman"/>
                <w:sz w:val="20"/>
                <w:szCs w:val="20"/>
              </w:rPr>
              <w:t>ИТОГО</w:t>
            </w:r>
          </w:p>
        </w:tc>
        <w:tc>
          <w:tcPr>
            <w:tcW w:w="861" w:type="dxa"/>
            <w:tcBorders>
              <w:top w:val="nil"/>
              <w:left w:val="single" w:sz="2" w:space="0" w:color="000000"/>
              <w:bottom w:val="single" w:sz="2" w:space="0" w:color="000000"/>
              <w:right w:val="nil"/>
            </w:tcBorders>
            <w:tcMar>
              <w:top w:w="55" w:type="dxa"/>
              <w:left w:w="55" w:type="dxa"/>
              <w:bottom w:w="55" w:type="dxa"/>
              <w:right w:w="55" w:type="dxa"/>
            </w:tcMar>
          </w:tcPr>
          <w:p w:rsidR="00A5336F" w:rsidRPr="00A5336F" w:rsidRDefault="00A5336F" w:rsidP="00A5336F">
            <w:pPr>
              <w:pStyle w:val="TableContents"/>
              <w:spacing w:line="276" w:lineRule="auto"/>
              <w:jc w:val="both"/>
              <w:rPr>
                <w:rFonts w:ascii="Times New Roman" w:hAnsi="Times New Roman" w:cs="Times New Roman"/>
                <w:sz w:val="20"/>
                <w:szCs w:val="20"/>
                <w:lang w:val="en-US"/>
              </w:rPr>
            </w:pPr>
            <w:r>
              <w:rPr>
                <w:rFonts w:ascii="Times New Roman" w:hAnsi="Times New Roman" w:cs="Times New Roman"/>
                <w:sz w:val="20"/>
                <w:szCs w:val="20"/>
              </w:rPr>
              <w:t>3</w:t>
            </w:r>
          </w:p>
        </w:tc>
        <w:tc>
          <w:tcPr>
            <w:tcW w:w="873" w:type="dxa"/>
            <w:tcBorders>
              <w:top w:val="nil"/>
              <w:left w:val="single" w:sz="2" w:space="0" w:color="000000"/>
              <w:bottom w:val="single" w:sz="2" w:space="0" w:color="000000"/>
              <w:right w:val="single" w:sz="4" w:space="0" w:color="auto"/>
            </w:tcBorders>
            <w:tcMar>
              <w:top w:w="55" w:type="dxa"/>
              <w:left w:w="55" w:type="dxa"/>
              <w:bottom w:w="55" w:type="dxa"/>
              <w:right w:w="55" w:type="dxa"/>
            </w:tcMar>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32</w:t>
            </w:r>
          </w:p>
        </w:tc>
        <w:tc>
          <w:tcPr>
            <w:tcW w:w="573" w:type="dxa"/>
            <w:tcBorders>
              <w:top w:val="nil"/>
              <w:left w:val="single" w:sz="4" w:space="0" w:color="auto"/>
              <w:bottom w:val="single" w:sz="2" w:space="0" w:color="000000"/>
              <w:right w:val="single" w:sz="2" w:space="0" w:color="000000"/>
            </w:tcBorders>
          </w:tcPr>
          <w:p w:rsidR="00A5336F" w:rsidRPr="005C0C40" w:rsidRDefault="00A5336F" w:rsidP="00A5336F">
            <w:pPr>
              <w:pStyle w:val="TableContents"/>
              <w:spacing w:line="276" w:lineRule="auto"/>
              <w:jc w:val="both"/>
              <w:rPr>
                <w:rFonts w:ascii="Times New Roman" w:hAnsi="Times New Roman" w:cs="Times New Roman"/>
                <w:sz w:val="20"/>
                <w:szCs w:val="20"/>
              </w:rPr>
            </w:pPr>
            <w:r>
              <w:rPr>
                <w:rFonts w:ascii="Times New Roman" w:hAnsi="Times New Roman" w:cs="Times New Roman"/>
                <w:sz w:val="20"/>
                <w:szCs w:val="20"/>
              </w:rPr>
              <w:t>-29</w:t>
            </w:r>
          </w:p>
        </w:tc>
      </w:tr>
    </w:tbl>
    <w:p w:rsidR="002767BC" w:rsidRPr="005C0C40" w:rsidRDefault="002767BC" w:rsidP="002767BC">
      <w:pPr>
        <w:pStyle w:val="Standard"/>
        <w:widowControl/>
        <w:jc w:val="both"/>
        <w:rPr>
          <w:rFonts w:ascii="Times New Roman" w:hAnsi="Times New Roman" w:cs="Times New Roman"/>
          <w:sz w:val="20"/>
          <w:szCs w:val="20"/>
        </w:rPr>
      </w:pPr>
    </w:p>
    <w:p w:rsidR="002767BC" w:rsidRPr="005C0C40" w:rsidRDefault="002767BC" w:rsidP="00B8531E">
      <w:pPr>
        <w:pStyle w:val="Standard"/>
        <w:widowControl/>
        <w:ind w:left="-567"/>
        <w:jc w:val="both"/>
        <w:rPr>
          <w:rFonts w:ascii="Times New Roman" w:hAnsi="Times New Roman" w:cs="Times New Roman"/>
          <w:sz w:val="20"/>
          <w:szCs w:val="20"/>
        </w:rPr>
      </w:pPr>
    </w:p>
    <w:p w:rsidR="00B8531E" w:rsidRPr="005C0C40" w:rsidRDefault="00A5336F" w:rsidP="00B8531E">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Прекращенных материалов не было</w:t>
      </w:r>
      <w:r w:rsidR="00B8531E">
        <w:rPr>
          <w:rFonts w:ascii="Times New Roman" w:hAnsi="Times New Roman" w:cs="Times New Roman"/>
          <w:sz w:val="20"/>
          <w:szCs w:val="20"/>
        </w:rPr>
        <w:t xml:space="preserve"> </w:t>
      </w:r>
      <w:r>
        <w:rPr>
          <w:rFonts w:ascii="Times New Roman" w:hAnsi="Times New Roman" w:cs="Times New Roman"/>
          <w:sz w:val="20"/>
          <w:szCs w:val="20"/>
        </w:rPr>
        <w:t>(2021г-1</w:t>
      </w:r>
      <w:r w:rsidR="00B8531E">
        <w:rPr>
          <w:rFonts w:ascii="Times New Roman" w:hAnsi="Times New Roman" w:cs="Times New Roman"/>
          <w:sz w:val="20"/>
          <w:szCs w:val="20"/>
        </w:rPr>
        <w:t xml:space="preserve">).  </w:t>
      </w:r>
      <w:r>
        <w:rPr>
          <w:rFonts w:ascii="Times New Roman" w:hAnsi="Times New Roman" w:cs="Times New Roman"/>
          <w:sz w:val="20"/>
          <w:szCs w:val="20"/>
        </w:rPr>
        <w:t>В первом квартале все нарушители понесли наказание в виде штрафа (2021г-11)</w:t>
      </w:r>
      <w:r w:rsidR="00B8531E" w:rsidRPr="005C0C40">
        <w:rPr>
          <w:rFonts w:ascii="Times New Roman" w:hAnsi="Times New Roman" w:cs="Times New Roman"/>
          <w:sz w:val="20"/>
          <w:szCs w:val="20"/>
        </w:rPr>
        <w:t>.</w:t>
      </w:r>
    </w:p>
    <w:p w:rsidR="00B8531E" w:rsidRPr="005C0C40" w:rsidRDefault="00A5336F" w:rsidP="00B8531E">
      <w:pPr>
        <w:pStyle w:val="Standard"/>
        <w:widowControl/>
        <w:ind w:left="-567"/>
        <w:jc w:val="both"/>
        <w:rPr>
          <w:rFonts w:ascii="Times New Roman" w:hAnsi="Times New Roman" w:cs="Times New Roman"/>
          <w:sz w:val="20"/>
          <w:szCs w:val="20"/>
        </w:rPr>
      </w:pPr>
      <w:r>
        <w:rPr>
          <w:rFonts w:ascii="Times New Roman" w:hAnsi="Times New Roman" w:cs="Times New Roman"/>
          <w:b/>
          <w:bCs/>
          <w:sz w:val="20"/>
          <w:szCs w:val="20"/>
        </w:rPr>
        <w:t xml:space="preserve">      С целью профилактики, 5</w:t>
      </w:r>
      <w:r w:rsidR="00B8531E">
        <w:rPr>
          <w:rFonts w:ascii="Times New Roman" w:hAnsi="Times New Roman" w:cs="Times New Roman"/>
          <w:b/>
          <w:bCs/>
          <w:sz w:val="20"/>
          <w:szCs w:val="20"/>
        </w:rPr>
        <w:t xml:space="preserve"> </w:t>
      </w:r>
      <w:r>
        <w:rPr>
          <w:rFonts w:ascii="Times New Roman" w:hAnsi="Times New Roman" w:cs="Times New Roman"/>
          <w:sz w:val="20"/>
          <w:szCs w:val="20"/>
        </w:rPr>
        <w:t>нарушителям</w:t>
      </w:r>
      <w:r w:rsidR="00B8531E">
        <w:rPr>
          <w:rFonts w:ascii="Times New Roman" w:hAnsi="Times New Roman" w:cs="Times New Roman"/>
          <w:sz w:val="20"/>
          <w:szCs w:val="20"/>
        </w:rPr>
        <w:t xml:space="preserve"> (по торговле-1, по благоустройству-7</w:t>
      </w:r>
      <w:r>
        <w:rPr>
          <w:rFonts w:ascii="Times New Roman" w:hAnsi="Times New Roman" w:cs="Times New Roman"/>
          <w:sz w:val="20"/>
          <w:szCs w:val="20"/>
        </w:rPr>
        <w:t>4</w:t>
      </w:r>
      <w:r w:rsidR="00B8531E" w:rsidRPr="005C0C40">
        <w:rPr>
          <w:rFonts w:ascii="Times New Roman" w:hAnsi="Times New Roman" w:cs="Times New Roman"/>
          <w:sz w:val="20"/>
          <w:szCs w:val="20"/>
        </w:rPr>
        <w:t>) были предупреждены</w:t>
      </w:r>
      <w:r>
        <w:rPr>
          <w:rFonts w:ascii="Times New Roman" w:hAnsi="Times New Roman" w:cs="Times New Roman"/>
          <w:sz w:val="20"/>
          <w:szCs w:val="20"/>
        </w:rPr>
        <w:t xml:space="preserve"> устно без составления протоколов</w:t>
      </w:r>
      <w:r w:rsidR="00B8531E" w:rsidRPr="005C0C40">
        <w:rPr>
          <w:rFonts w:ascii="Times New Roman" w:hAnsi="Times New Roman" w:cs="Times New Roman"/>
          <w:sz w:val="20"/>
          <w:szCs w:val="20"/>
        </w:rPr>
        <w:t xml:space="preserve">.  </w:t>
      </w:r>
    </w:p>
    <w:p w:rsidR="00B8531E" w:rsidRDefault="00B8531E" w:rsidP="00B8531E">
      <w:pPr>
        <w:pStyle w:val="Standard"/>
        <w:widowControl/>
        <w:ind w:left="-567"/>
        <w:jc w:val="both"/>
        <w:rPr>
          <w:rFonts w:ascii="Times New Roman" w:hAnsi="Times New Roman" w:cs="Times New Roman"/>
          <w:sz w:val="20"/>
          <w:szCs w:val="20"/>
        </w:rPr>
      </w:pPr>
      <w:r w:rsidRPr="005C0C40">
        <w:rPr>
          <w:rFonts w:ascii="Times New Roman" w:hAnsi="Times New Roman" w:cs="Times New Roman"/>
          <w:sz w:val="20"/>
          <w:szCs w:val="20"/>
        </w:rPr>
        <w:t xml:space="preserve">      Сумма наложенных к</w:t>
      </w:r>
      <w:r w:rsidR="00A5336F">
        <w:rPr>
          <w:rFonts w:ascii="Times New Roman" w:hAnsi="Times New Roman" w:cs="Times New Roman"/>
          <w:sz w:val="20"/>
          <w:szCs w:val="20"/>
        </w:rPr>
        <w:t>омиссией штрафов в 2022</w:t>
      </w:r>
      <w:r>
        <w:rPr>
          <w:rFonts w:ascii="Times New Roman" w:hAnsi="Times New Roman" w:cs="Times New Roman"/>
          <w:sz w:val="20"/>
          <w:szCs w:val="20"/>
        </w:rPr>
        <w:t>году за 3 ме</w:t>
      </w:r>
      <w:r w:rsidR="00A5336F">
        <w:rPr>
          <w:rFonts w:ascii="Times New Roman" w:hAnsi="Times New Roman" w:cs="Times New Roman"/>
          <w:sz w:val="20"/>
          <w:szCs w:val="20"/>
        </w:rPr>
        <w:t>сяца составила 6000 рублей (2021</w:t>
      </w:r>
      <w:r w:rsidRPr="005C0C40">
        <w:rPr>
          <w:rFonts w:ascii="Times New Roman" w:hAnsi="Times New Roman" w:cs="Times New Roman"/>
          <w:sz w:val="20"/>
          <w:szCs w:val="20"/>
        </w:rPr>
        <w:t>год -</w:t>
      </w:r>
      <w:r w:rsidR="00A5336F">
        <w:rPr>
          <w:rFonts w:ascii="Times New Roman" w:hAnsi="Times New Roman" w:cs="Times New Roman"/>
          <w:sz w:val="20"/>
          <w:szCs w:val="20"/>
        </w:rPr>
        <w:t>6000</w:t>
      </w:r>
      <w:r>
        <w:rPr>
          <w:rFonts w:ascii="Times New Roman" w:hAnsi="Times New Roman" w:cs="Times New Roman"/>
          <w:sz w:val="20"/>
          <w:szCs w:val="20"/>
        </w:rPr>
        <w:t xml:space="preserve"> </w:t>
      </w:r>
      <w:r w:rsidRPr="005C0C40">
        <w:rPr>
          <w:rFonts w:ascii="Times New Roman" w:hAnsi="Times New Roman" w:cs="Times New Roman"/>
          <w:sz w:val="20"/>
          <w:szCs w:val="20"/>
        </w:rPr>
        <w:t>руб</w:t>
      </w:r>
      <w:r w:rsidR="00A5336F">
        <w:rPr>
          <w:rFonts w:ascii="Times New Roman" w:hAnsi="Times New Roman" w:cs="Times New Roman"/>
          <w:sz w:val="20"/>
          <w:szCs w:val="20"/>
        </w:rPr>
        <w:t>.</w:t>
      </w:r>
      <w:r w:rsidRPr="005C0C40">
        <w:rPr>
          <w:rFonts w:ascii="Times New Roman" w:hAnsi="Times New Roman" w:cs="Times New Roman"/>
          <w:sz w:val="20"/>
          <w:szCs w:val="20"/>
        </w:rPr>
        <w:t xml:space="preserve">). </w:t>
      </w:r>
      <w:proofErr w:type="gramStart"/>
      <w:r w:rsidRPr="005C0C40">
        <w:rPr>
          <w:rFonts w:ascii="Times New Roman" w:hAnsi="Times New Roman" w:cs="Times New Roman"/>
          <w:sz w:val="20"/>
          <w:szCs w:val="20"/>
        </w:rPr>
        <w:t xml:space="preserve">Взыскано </w:t>
      </w:r>
      <w:r w:rsidR="00A5336F">
        <w:rPr>
          <w:rFonts w:ascii="Times New Roman" w:hAnsi="Times New Roman" w:cs="Times New Roman"/>
          <w:sz w:val="20"/>
          <w:szCs w:val="20"/>
        </w:rPr>
        <w:t xml:space="preserve"> в</w:t>
      </w:r>
      <w:proofErr w:type="gramEnd"/>
      <w:r w:rsidR="00A5336F">
        <w:rPr>
          <w:rFonts w:ascii="Times New Roman" w:hAnsi="Times New Roman" w:cs="Times New Roman"/>
          <w:sz w:val="20"/>
          <w:szCs w:val="20"/>
        </w:rPr>
        <w:t xml:space="preserve"> 1 кв. 2022</w:t>
      </w:r>
      <w:r>
        <w:rPr>
          <w:rFonts w:ascii="Times New Roman" w:hAnsi="Times New Roman" w:cs="Times New Roman"/>
          <w:sz w:val="20"/>
          <w:szCs w:val="20"/>
        </w:rPr>
        <w:t xml:space="preserve">г </w:t>
      </w:r>
      <w:r w:rsidRPr="005C0C40">
        <w:rPr>
          <w:rFonts w:ascii="Times New Roman" w:hAnsi="Times New Roman" w:cs="Times New Roman"/>
          <w:sz w:val="20"/>
          <w:szCs w:val="20"/>
        </w:rPr>
        <w:t>с учетом штрафов з</w:t>
      </w:r>
      <w:r w:rsidR="00A5336F">
        <w:rPr>
          <w:rFonts w:ascii="Times New Roman" w:hAnsi="Times New Roman" w:cs="Times New Roman"/>
          <w:sz w:val="20"/>
          <w:szCs w:val="20"/>
        </w:rPr>
        <w:t xml:space="preserve">а прошлые года  </w:t>
      </w:r>
      <w:r w:rsidR="006403D4">
        <w:rPr>
          <w:rFonts w:ascii="Times New Roman" w:hAnsi="Times New Roman" w:cs="Times New Roman"/>
          <w:sz w:val="20"/>
          <w:szCs w:val="20"/>
        </w:rPr>
        <w:t>7487,00</w:t>
      </w:r>
      <w:r w:rsidR="00A5336F">
        <w:rPr>
          <w:rFonts w:ascii="Times New Roman" w:hAnsi="Times New Roman" w:cs="Times New Roman"/>
          <w:sz w:val="20"/>
          <w:szCs w:val="20"/>
        </w:rPr>
        <w:t>руб. (2021</w:t>
      </w:r>
      <w:r w:rsidRPr="005C0C40">
        <w:rPr>
          <w:rFonts w:ascii="Times New Roman" w:hAnsi="Times New Roman" w:cs="Times New Roman"/>
          <w:sz w:val="20"/>
          <w:szCs w:val="20"/>
        </w:rPr>
        <w:t>г-</w:t>
      </w:r>
      <w:r w:rsidR="00A5336F">
        <w:rPr>
          <w:rFonts w:ascii="Times New Roman" w:hAnsi="Times New Roman" w:cs="Times New Roman"/>
          <w:sz w:val="20"/>
          <w:szCs w:val="20"/>
        </w:rPr>
        <w:t>18621</w:t>
      </w:r>
      <w:r w:rsidRPr="005C0C40">
        <w:rPr>
          <w:rFonts w:ascii="Times New Roman" w:hAnsi="Times New Roman" w:cs="Times New Roman"/>
          <w:sz w:val="20"/>
          <w:szCs w:val="20"/>
        </w:rPr>
        <w:t xml:space="preserve"> руб.).</w:t>
      </w:r>
    </w:p>
    <w:p w:rsidR="00B8531E" w:rsidRPr="005C0C40" w:rsidRDefault="00B8531E" w:rsidP="00B8531E">
      <w:pPr>
        <w:pStyle w:val="Standard"/>
        <w:widowControl/>
        <w:ind w:left="-567"/>
        <w:jc w:val="both"/>
        <w:rPr>
          <w:rFonts w:ascii="Times New Roman" w:hAnsi="Times New Roman" w:cs="Times New Roman"/>
          <w:sz w:val="20"/>
          <w:szCs w:val="20"/>
        </w:rPr>
      </w:pPr>
      <w:r>
        <w:rPr>
          <w:rFonts w:ascii="Times New Roman" w:hAnsi="Times New Roman" w:cs="Times New Roman"/>
          <w:sz w:val="20"/>
          <w:szCs w:val="20"/>
        </w:rPr>
        <w:t xml:space="preserve"> Судебными п</w:t>
      </w:r>
      <w:r w:rsidR="006403D4">
        <w:rPr>
          <w:rFonts w:ascii="Times New Roman" w:hAnsi="Times New Roman" w:cs="Times New Roman"/>
          <w:sz w:val="20"/>
          <w:szCs w:val="20"/>
        </w:rPr>
        <w:t>риставами взыскано за 3 мес.2022года- 487 рублей (2021</w:t>
      </w:r>
      <w:r w:rsidRPr="005C0C40">
        <w:rPr>
          <w:rFonts w:ascii="Times New Roman" w:hAnsi="Times New Roman" w:cs="Times New Roman"/>
          <w:sz w:val="20"/>
          <w:szCs w:val="20"/>
        </w:rPr>
        <w:t>г-</w:t>
      </w:r>
      <w:r w:rsidR="006403D4">
        <w:rPr>
          <w:rFonts w:ascii="Times New Roman" w:hAnsi="Times New Roman" w:cs="Times New Roman"/>
          <w:sz w:val="20"/>
          <w:szCs w:val="20"/>
        </w:rPr>
        <w:t>921</w:t>
      </w:r>
      <w:r>
        <w:rPr>
          <w:rFonts w:ascii="Times New Roman" w:hAnsi="Times New Roman" w:cs="Times New Roman"/>
          <w:sz w:val="20"/>
          <w:szCs w:val="20"/>
        </w:rPr>
        <w:t xml:space="preserve"> </w:t>
      </w:r>
      <w:r w:rsidRPr="005C0C40">
        <w:rPr>
          <w:rFonts w:ascii="Times New Roman" w:hAnsi="Times New Roman" w:cs="Times New Roman"/>
          <w:sz w:val="20"/>
          <w:szCs w:val="20"/>
        </w:rPr>
        <w:t>руб</w:t>
      </w:r>
      <w:r w:rsidR="006403D4">
        <w:rPr>
          <w:rFonts w:ascii="Times New Roman" w:hAnsi="Times New Roman" w:cs="Times New Roman"/>
          <w:sz w:val="20"/>
          <w:szCs w:val="20"/>
        </w:rPr>
        <w:t>.</w:t>
      </w:r>
      <w:r w:rsidRPr="005C0C40">
        <w:rPr>
          <w:rFonts w:ascii="Times New Roman" w:hAnsi="Times New Roman" w:cs="Times New Roman"/>
          <w:sz w:val="20"/>
          <w:szCs w:val="20"/>
        </w:rPr>
        <w:t>).</w:t>
      </w:r>
    </w:p>
    <w:p w:rsidR="006403D4" w:rsidRDefault="006403D4" w:rsidP="002767BC">
      <w:pPr>
        <w:pStyle w:val="Standard"/>
        <w:widowControl/>
        <w:ind w:left="-567"/>
        <w:jc w:val="both"/>
        <w:rPr>
          <w:rFonts w:ascii="Times New Roman" w:hAnsi="Times New Roman" w:cs="Times New Roman"/>
          <w:sz w:val="20"/>
          <w:szCs w:val="20"/>
        </w:rPr>
      </w:pPr>
    </w:p>
    <w:p w:rsidR="006403D4" w:rsidRDefault="006403D4" w:rsidP="002767BC">
      <w:pPr>
        <w:pStyle w:val="Standard"/>
        <w:widowControl/>
        <w:ind w:left="-567"/>
        <w:jc w:val="both"/>
        <w:rPr>
          <w:rFonts w:ascii="Times New Roman" w:hAnsi="Times New Roman" w:cs="Times New Roman"/>
          <w:sz w:val="20"/>
          <w:szCs w:val="20"/>
        </w:rPr>
      </w:pPr>
    </w:p>
    <w:p w:rsidR="006403D4" w:rsidRDefault="00B8531E" w:rsidP="002767BC">
      <w:pPr>
        <w:pStyle w:val="Standard"/>
        <w:widowControl/>
        <w:ind w:left="-567"/>
        <w:jc w:val="both"/>
        <w:rPr>
          <w:rFonts w:ascii="PT Astra Serif" w:hAnsi="PT Astra Serif" w:cs="Times New Roman"/>
          <w:b/>
          <w:bCs/>
          <w:sz w:val="20"/>
          <w:szCs w:val="20"/>
        </w:rPr>
      </w:pPr>
      <w:r w:rsidRPr="008B468D">
        <w:rPr>
          <w:rFonts w:ascii="PT Astra Serif" w:hAnsi="PT Astra Serif" w:cs="Times New Roman"/>
          <w:b/>
          <w:sz w:val="20"/>
          <w:szCs w:val="20"/>
        </w:rPr>
        <w:t>П</w:t>
      </w:r>
      <w:r w:rsidRPr="008B468D">
        <w:rPr>
          <w:rFonts w:ascii="PT Astra Serif" w:hAnsi="PT Astra Serif" w:cs="Times New Roman"/>
          <w:b/>
          <w:bCs/>
          <w:sz w:val="20"/>
          <w:szCs w:val="20"/>
        </w:rPr>
        <w:t>редседатель а</w:t>
      </w:r>
      <w:r w:rsidR="006403D4">
        <w:rPr>
          <w:rFonts w:ascii="PT Astra Serif" w:hAnsi="PT Astra Serif" w:cs="Times New Roman"/>
          <w:b/>
          <w:bCs/>
          <w:sz w:val="20"/>
          <w:szCs w:val="20"/>
        </w:rPr>
        <w:t xml:space="preserve">дминистративной комиссии    </w:t>
      </w:r>
    </w:p>
    <w:p w:rsidR="00B8531E" w:rsidRPr="004950EE" w:rsidRDefault="006403D4" w:rsidP="002767BC">
      <w:pPr>
        <w:pStyle w:val="Standard"/>
        <w:widowControl/>
        <w:ind w:left="-567"/>
        <w:jc w:val="both"/>
        <w:rPr>
          <w:rFonts w:ascii="Times New Roman" w:hAnsi="Times New Roman" w:cs="Times New Roman"/>
          <w:sz w:val="20"/>
          <w:szCs w:val="20"/>
        </w:rPr>
      </w:pPr>
      <w:r>
        <w:rPr>
          <w:rFonts w:ascii="PT Astra Serif" w:hAnsi="PT Astra Serif" w:cs="Times New Roman"/>
          <w:b/>
          <w:bCs/>
          <w:sz w:val="20"/>
          <w:szCs w:val="20"/>
        </w:rPr>
        <w:t xml:space="preserve">Североуральского городского округа                                  </w:t>
      </w:r>
      <w:r w:rsidR="00B8531E" w:rsidRPr="008B468D">
        <w:rPr>
          <w:rFonts w:ascii="PT Astra Serif" w:hAnsi="PT Astra Serif" w:cs="Times New Roman"/>
          <w:b/>
          <w:bCs/>
          <w:sz w:val="20"/>
          <w:szCs w:val="20"/>
        </w:rPr>
        <w:t xml:space="preserve">             </w:t>
      </w:r>
      <w:r>
        <w:rPr>
          <w:rFonts w:ascii="PT Astra Serif" w:hAnsi="PT Astra Serif" w:cs="Times New Roman"/>
          <w:b/>
          <w:bCs/>
          <w:sz w:val="20"/>
          <w:szCs w:val="20"/>
        </w:rPr>
        <w:t xml:space="preserve">     С.Н. Миронова</w:t>
      </w:r>
    </w:p>
    <w:p w:rsidR="00B8531E" w:rsidRDefault="00B8531E" w:rsidP="00B8531E">
      <w:pPr>
        <w:pStyle w:val="Standard"/>
        <w:widowControl/>
        <w:ind w:left="-426"/>
        <w:jc w:val="both"/>
        <w:rPr>
          <w:rFonts w:ascii="Times New Roman" w:hAnsi="Times New Roman" w:cs="Times New Roman"/>
          <w:bCs/>
          <w:sz w:val="20"/>
          <w:szCs w:val="20"/>
        </w:rPr>
      </w:pPr>
      <w:r>
        <w:rPr>
          <w:rFonts w:ascii="Times New Roman" w:hAnsi="Times New Roman" w:cs="Times New Roman"/>
          <w:bCs/>
          <w:sz w:val="20"/>
          <w:szCs w:val="20"/>
        </w:rPr>
        <w:t xml:space="preserve">    </w:t>
      </w:r>
    </w:p>
    <w:p w:rsidR="00B8531E" w:rsidRDefault="00B8531E" w:rsidP="00B8531E">
      <w:pPr>
        <w:pStyle w:val="Standard"/>
        <w:widowControl/>
        <w:ind w:left="-426"/>
        <w:jc w:val="both"/>
        <w:rPr>
          <w:rFonts w:ascii="Times New Roman" w:hAnsi="Times New Roman" w:cs="Times New Roman"/>
          <w:bCs/>
          <w:sz w:val="20"/>
          <w:szCs w:val="20"/>
        </w:rPr>
      </w:pPr>
    </w:p>
    <w:p w:rsidR="00A2462B" w:rsidRDefault="006403D4"/>
    <w:sectPr w:rsidR="00A2462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922"/>
    <w:rsid w:val="002767BC"/>
    <w:rsid w:val="006403D4"/>
    <w:rsid w:val="009C1A66"/>
    <w:rsid w:val="00A5336F"/>
    <w:rsid w:val="00A55922"/>
    <w:rsid w:val="00B8531E"/>
    <w:rsid w:val="00CC1F8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471C20-C01F-4326-9CB3-56BA9D6902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B8531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B8531E"/>
    <w:pPr>
      <w:widowControl w:val="0"/>
      <w:suppressAutoHyphens/>
      <w:autoSpaceDN w:val="0"/>
      <w:spacing w:after="0" w:line="240" w:lineRule="auto"/>
      <w:textAlignment w:val="baseline"/>
    </w:pPr>
    <w:rPr>
      <w:rFonts w:ascii="Arial" w:eastAsia="Lucida Sans Unicode" w:hAnsi="Arial" w:cs="Tahoma"/>
      <w:kern w:val="3"/>
      <w:sz w:val="21"/>
      <w:szCs w:val="24"/>
      <w:lang w:eastAsia="ru-RU"/>
    </w:rPr>
  </w:style>
  <w:style w:type="paragraph" w:customStyle="1" w:styleId="TableContents">
    <w:name w:val="Table Contents"/>
    <w:basedOn w:val="Standard"/>
    <w:rsid w:val="00B8531E"/>
    <w:pPr>
      <w:suppressLineNumbers/>
    </w:pPr>
  </w:style>
  <w:style w:type="paragraph" w:styleId="a3">
    <w:name w:val="Balloon Text"/>
    <w:basedOn w:val="a"/>
    <w:link w:val="a4"/>
    <w:uiPriority w:val="99"/>
    <w:semiHidden/>
    <w:unhideWhenUsed/>
    <w:rsid w:val="006403D4"/>
    <w:rPr>
      <w:rFonts w:ascii="Segoe UI" w:hAnsi="Segoe UI" w:cs="Segoe UI"/>
      <w:sz w:val="18"/>
      <w:szCs w:val="18"/>
    </w:rPr>
  </w:style>
  <w:style w:type="character" w:customStyle="1" w:styleId="a4">
    <w:name w:val="Текст выноски Знак"/>
    <w:basedOn w:val="a0"/>
    <w:link w:val="a3"/>
    <w:uiPriority w:val="99"/>
    <w:semiHidden/>
    <w:rsid w:val="006403D4"/>
    <w:rPr>
      <w:rFonts w:ascii="Segoe UI" w:eastAsia="Lucida Sans Unicode" w:hAnsi="Segoe UI" w:cs="Segoe UI"/>
      <w:kern w:val="3"/>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4A3A9-CFC1-4904-A97F-9249395D1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464</Words>
  <Characters>2646</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АдмКомссия</dc:creator>
  <cp:keywords/>
  <dc:description/>
  <cp:lastModifiedBy>Каутц Лариса Петровна</cp:lastModifiedBy>
  <cp:revision>5</cp:revision>
  <cp:lastPrinted>2022-04-15T08:54:00Z</cp:lastPrinted>
  <dcterms:created xsi:type="dcterms:W3CDTF">2021-04-12T05:05:00Z</dcterms:created>
  <dcterms:modified xsi:type="dcterms:W3CDTF">2022-04-15T08:55:00Z</dcterms:modified>
</cp:coreProperties>
</file>