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C877BC">
      <w:pPr>
        <w:rPr>
          <w:sz w:val="28"/>
          <w:szCs w:val="28"/>
        </w:rPr>
      </w:pPr>
      <w:r>
        <w:rPr>
          <w:sz w:val="28"/>
          <w:szCs w:val="28"/>
          <w:u w:val="single"/>
        </w:rPr>
        <w:t>11.11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1368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C877BC" w:rsidRPr="004D1094" w:rsidRDefault="00C877BC" w:rsidP="00C877BC">
      <w:pPr>
        <w:jc w:val="center"/>
        <w:rPr>
          <w:b/>
          <w:sz w:val="28"/>
          <w:szCs w:val="28"/>
        </w:rPr>
      </w:pPr>
      <w:r w:rsidRPr="004D1094"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«Подготовка и выдача разрешений на строительство, реконструкцию объектов капитального строительства на территории Североуральского городского округа», утвержденный постановлением Администрации Североуральского городского округа от 16.07.2012 № 944</w:t>
      </w:r>
    </w:p>
    <w:p w:rsidR="00C877BC" w:rsidRPr="004D1094" w:rsidRDefault="00C877BC" w:rsidP="00C877BC">
      <w:pPr>
        <w:jc w:val="center"/>
        <w:rPr>
          <w:sz w:val="28"/>
          <w:szCs w:val="28"/>
        </w:rPr>
      </w:pPr>
    </w:p>
    <w:p w:rsidR="00C877BC" w:rsidRPr="004D1094" w:rsidRDefault="00C877BC" w:rsidP="00C877BC">
      <w:pPr>
        <w:ind w:firstLine="709"/>
        <w:jc w:val="both"/>
        <w:rPr>
          <w:sz w:val="28"/>
          <w:szCs w:val="28"/>
        </w:rPr>
      </w:pPr>
      <w:proofErr w:type="gramStart"/>
      <w:r w:rsidRPr="004D1094">
        <w:rPr>
          <w:sz w:val="28"/>
          <w:szCs w:val="28"/>
        </w:rPr>
        <w:t xml:space="preserve">Руководствуясь </w:t>
      </w:r>
      <w:r w:rsidRPr="005A3BC5">
        <w:rPr>
          <w:sz w:val="28"/>
          <w:szCs w:val="28"/>
        </w:rPr>
        <w:t>Градостроительным кодексом</w:t>
      </w:r>
      <w:r w:rsidRPr="004D109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4D1094">
        <w:rPr>
          <w:sz w:val="28"/>
          <w:szCs w:val="28"/>
        </w:rPr>
        <w:t xml:space="preserve">, </w:t>
      </w:r>
      <w:r w:rsidR="00EB1E9C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</w:t>
      </w:r>
      <w:r w:rsidRPr="004D109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Администрации Североуральского городского округа от 26.04.2012 № 560 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округа», Администрация Североуральского</w:t>
      </w:r>
      <w:proofErr w:type="gramEnd"/>
      <w:r w:rsidRPr="004D1094">
        <w:rPr>
          <w:sz w:val="28"/>
          <w:szCs w:val="28"/>
        </w:rPr>
        <w:t xml:space="preserve">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EB1E9C" w:rsidRPr="004D1094" w:rsidRDefault="00EB1E9C" w:rsidP="00EB1E9C">
      <w:pPr>
        <w:autoSpaceDE/>
        <w:autoSpaceDN/>
        <w:ind w:firstLine="709"/>
        <w:jc w:val="both"/>
        <w:rPr>
          <w:sz w:val="28"/>
          <w:szCs w:val="28"/>
        </w:rPr>
      </w:pPr>
      <w:r w:rsidRPr="004D1094">
        <w:rPr>
          <w:sz w:val="28"/>
          <w:szCs w:val="28"/>
        </w:rPr>
        <w:t xml:space="preserve">1. </w:t>
      </w:r>
      <w:proofErr w:type="gramStart"/>
      <w:r w:rsidRPr="004D1094">
        <w:rPr>
          <w:sz w:val="28"/>
          <w:szCs w:val="28"/>
        </w:rPr>
        <w:t>Внести в Административный регламент предоставления муниципальной услуги «Подготовка и выдача разрешений на строительство, реконструкцию объектов капитального строительства на территории Североуральского городского округа», утвержденный постановлением Администрации Североуральского городского округа от 16.07.2012 № 944,</w:t>
      </w:r>
      <w:r w:rsidRPr="004D1094">
        <w:rPr>
          <w:rFonts w:eastAsia="Calibri"/>
          <w:sz w:val="28"/>
          <w:szCs w:val="28"/>
          <w:lang w:eastAsia="en-US"/>
        </w:rPr>
        <w:t xml:space="preserve"> </w:t>
      </w:r>
      <w:r w:rsidRPr="004D1094">
        <w:rPr>
          <w:sz w:val="28"/>
          <w:szCs w:val="28"/>
        </w:rPr>
        <w:t>с измене</w:t>
      </w:r>
      <w:r>
        <w:rPr>
          <w:sz w:val="28"/>
          <w:szCs w:val="28"/>
        </w:rPr>
        <w:t>ниями, внесенными постановлениями</w:t>
      </w:r>
      <w:r w:rsidRPr="004D1094">
        <w:rPr>
          <w:sz w:val="28"/>
          <w:szCs w:val="28"/>
        </w:rPr>
        <w:t xml:space="preserve"> Администрации Североуральского городского округа от 29.08.2014 № 1235, от 04.09.2015 № 1498 от 08.07.2016 № 873 (далее – Административный регламент), следующие изменения:</w:t>
      </w:r>
      <w:proofErr w:type="gramEnd"/>
    </w:p>
    <w:p w:rsidR="00EB1E9C" w:rsidRPr="004D1094" w:rsidRDefault="00EB1E9C" w:rsidP="00EB1E9C">
      <w:pPr>
        <w:autoSpaceDE/>
        <w:autoSpaceDN/>
        <w:ind w:firstLine="709"/>
        <w:jc w:val="both"/>
        <w:rPr>
          <w:sz w:val="28"/>
          <w:szCs w:val="28"/>
        </w:rPr>
      </w:pPr>
      <w:r w:rsidRPr="004D1094">
        <w:rPr>
          <w:sz w:val="28"/>
          <w:szCs w:val="28"/>
        </w:rPr>
        <w:t>1) пункт 2.6. раздела 2 Административного регламента изложить в следующей редакции:</w:t>
      </w:r>
    </w:p>
    <w:p w:rsidR="00EB1E9C" w:rsidRPr="00EB1E9C" w:rsidRDefault="00EB1E9C" w:rsidP="00EB1E9C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094">
        <w:rPr>
          <w:sz w:val="28"/>
          <w:szCs w:val="28"/>
        </w:rPr>
        <w:t>«2</w:t>
      </w:r>
      <w:r w:rsidRPr="004D1094">
        <w:rPr>
          <w:rFonts w:eastAsia="Calibri"/>
          <w:sz w:val="28"/>
          <w:szCs w:val="28"/>
          <w:lang w:eastAsia="en-US"/>
        </w:rPr>
        <w:t>.6. Для предоставления муниципальной</w:t>
      </w:r>
      <w:r>
        <w:rPr>
          <w:rFonts w:eastAsia="Calibri"/>
          <w:sz w:val="28"/>
          <w:szCs w:val="28"/>
          <w:lang w:eastAsia="en-US"/>
        </w:rPr>
        <w:t xml:space="preserve"> услуги заявитель направляет в О</w:t>
      </w:r>
      <w:r w:rsidRPr="004D1094">
        <w:rPr>
          <w:rFonts w:eastAsia="Calibri"/>
          <w:sz w:val="28"/>
          <w:szCs w:val="28"/>
          <w:lang w:eastAsia="en-US"/>
        </w:rPr>
        <w:t xml:space="preserve">тдел заявление о выдаче разрешения на строительство по </w:t>
      </w:r>
      <w:hyperlink w:anchor="Par293" w:history="1">
        <w:r w:rsidRPr="00EB1E9C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EB1E9C">
        <w:rPr>
          <w:rFonts w:eastAsia="Calibri"/>
          <w:sz w:val="28"/>
          <w:szCs w:val="28"/>
          <w:lang w:eastAsia="en-US"/>
        </w:rPr>
        <w:t>, приведенной в приложении № 2 к настоящему Регламенту.</w:t>
      </w:r>
    </w:p>
    <w:p w:rsidR="00EB1E9C" w:rsidRPr="004D1094" w:rsidRDefault="00EB1E9C" w:rsidP="00EB1E9C">
      <w:pPr>
        <w:suppressAutoHyphens/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094">
        <w:rPr>
          <w:rFonts w:eastAsia="Calibri"/>
          <w:sz w:val="28"/>
          <w:szCs w:val="28"/>
          <w:lang w:eastAsia="en-US"/>
        </w:rPr>
        <w:t>К указанному заявлению прилагаются следующие документы:</w:t>
      </w:r>
    </w:p>
    <w:p w:rsidR="00EB1E9C" w:rsidRPr="004D1094" w:rsidRDefault="00EB1E9C" w:rsidP="00EB1E9C">
      <w:pPr>
        <w:suppressAutoHyphens/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094">
        <w:rPr>
          <w:rFonts w:eastAsia="Calibri"/>
          <w:sz w:val="28"/>
          <w:szCs w:val="28"/>
          <w:lang w:eastAsia="en-US"/>
        </w:rPr>
        <w:lastRenderedPageBreak/>
        <w:t>1) документ, удостоверяющий личность Заявителя. Заявителем при получении муниципальной услуги может быть предъявлена универсальная электронная карта;</w:t>
      </w:r>
    </w:p>
    <w:p w:rsidR="00EB1E9C" w:rsidRPr="004D1094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094">
        <w:rPr>
          <w:rFonts w:eastAsia="Calibri"/>
          <w:sz w:val="28"/>
          <w:szCs w:val="28"/>
          <w:lang w:eastAsia="en-US"/>
        </w:rPr>
        <w:t>2) правоустанавливающие документы на земельный участок;</w:t>
      </w:r>
    </w:p>
    <w:p w:rsidR="00EB1E9C" w:rsidRPr="004D1094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2</w:t>
      </w:r>
      <w:r w:rsidRPr="004D1094">
        <w:rPr>
          <w:rFonts w:eastAsia="Calibri"/>
          <w:sz w:val="28"/>
          <w:szCs w:val="28"/>
          <w:lang w:eastAsia="en-US"/>
        </w:rPr>
        <w:t xml:space="preserve">.1) при наличии соглашения о передаче в случаях, установленных бюджетным </w:t>
      </w:r>
      <w:hyperlink r:id="rId8" w:history="1">
        <w:r w:rsidRPr="00EB1E9C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EB1E9C">
        <w:rPr>
          <w:rFonts w:eastAsia="Calibri"/>
          <w:sz w:val="28"/>
          <w:szCs w:val="28"/>
          <w:lang w:eastAsia="en-US"/>
        </w:rPr>
        <w:t xml:space="preserve"> Российской Федерации, органом государственной власти (государственным органом</w:t>
      </w:r>
      <w:r w:rsidRPr="004D1094">
        <w:rPr>
          <w:rFonts w:eastAsia="Calibri"/>
          <w:sz w:val="28"/>
          <w:szCs w:val="28"/>
          <w:lang w:eastAsia="en-US"/>
        </w:rPr>
        <w:t xml:space="preserve">), Государственной </w:t>
      </w:r>
      <w:r>
        <w:rPr>
          <w:rFonts w:eastAsia="Calibri"/>
          <w:sz w:val="28"/>
          <w:szCs w:val="28"/>
          <w:lang w:eastAsia="en-US"/>
        </w:rPr>
        <w:t>корпорацией по атомной энергии «</w:t>
      </w:r>
      <w:proofErr w:type="spellStart"/>
      <w:r>
        <w:rPr>
          <w:rFonts w:eastAsia="Calibri"/>
          <w:sz w:val="28"/>
          <w:szCs w:val="28"/>
          <w:lang w:eastAsia="en-US"/>
        </w:rPr>
        <w:t>Росатом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4D1094">
        <w:rPr>
          <w:rFonts w:eastAsia="Calibri"/>
          <w:sz w:val="28"/>
          <w:szCs w:val="28"/>
          <w:lang w:eastAsia="en-US"/>
        </w:rPr>
        <w:t>, Государственной корпораци</w:t>
      </w:r>
      <w:r>
        <w:rPr>
          <w:rFonts w:eastAsia="Calibri"/>
          <w:sz w:val="28"/>
          <w:szCs w:val="28"/>
          <w:lang w:eastAsia="en-US"/>
        </w:rPr>
        <w:t>ей по космической деятельности «</w:t>
      </w:r>
      <w:proofErr w:type="spellStart"/>
      <w:r>
        <w:rPr>
          <w:rFonts w:eastAsia="Calibri"/>
          <w:sz w:val="28"/>
          <w:szCs w:val="28"/>
          <w:lang w:eastAsia="en-US"/>
        </w:rPr>
        <w:t>Роскосмос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4D1094">
        <w:rPr>
          <w:rFonts w:eastAsia="Calibri"/>
          <w:sz w:val="28"/>
          <w:szCs w:val="28"/>
          <w:lang w:eastAsia="en-US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4D1094">
        <w:rPr>
          <w:rFonts w:eastAsia="Calibri"/>
          <w:sz w:val="28"/>
          <w:szCs w:val="28"/>
          <w:lang w:eastAsia="en-US"/>
        </w:rPr>
        <w:t xml:space="preserve"> соглашение;</w:t>
      </w:r>
    </w:p>
    <w:p w:rsidR="00EB1E9C" w:rsidRPr="004D1094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094">
        <w:rPr>
          <w:rFonts w:eastAsia="Calibri"/>
          <w:sz w:val="28"/>
          <w:szCs w:val="28"/>
          <w:lang w:eastAsia="en-US"/>
        </w:rPr>
        <w:t>3)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B1E9C" w:rsidRPr="004D1094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094">
        <w:rPr>
          <w:rFonts w:eastAsia="Calibri"/>
          <w:sz w:val="28"/>
          <w:szCs w:val="28"/>
          <w:lang w:eastAsia="en-US"/>
        </w:rPr>
        <w:t>4) материалы, содержащиеся в проектной документации:</w:t>
      </w:r>
    </w:p>
    <w:p w:rsidR="00EB1E9C" w:rsidRPr="004D1094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094">
        <w:rPr>
          <w:rFonts w:eastAsia="Calibri"/>
          <w:sz w:val="28"/>
          <w:szCs w:val="28"/>
          <w:lang w:eastAsia="en-US"/>
        </w:rPr>
        <w:t xml:space="preserve">а) пояснительная записка; </w:t>
      </w:r>
    </w:p>
    <w:p w:rsidR="00EB1E9C" w:rsidRPr="004D1094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094">
        <w:rPr>
          <w:rFonts w:eastAsia="Calibri"/>
          <w:sz w:val="28"/>
          <w:szCs w:val="28"/>
          <w:lang w:eastAsia="en-US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B1E9C" w:rsidRPr="004D1094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094">
        <w:rPr>
          <w:rFonts w:eastAsia="Calibri"/>
          <w:sz w:val="28"/>
          <w:szCs w:val="28"/>
          <w:lang w:eastAsia="en-US"/>
        </w:rPr>
        <w:t xml:space="preserve"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EB1E9C" w:rsidRPr="004D1094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094">
        <w:rPr>
          <w:rFonts w:eastAsia="Calibri"/>
          <w:sz w:val="28"/>
          <w:szCs w:val="28"/>
          <w:lang w:eastAsia="en-US"/>
        </w:rPr>
        <w:t>г) схемы, отображающие архитектурные решения;</w:t>
      </w:r>
    </w:p>
    <w:p w:rsidR="00EB1E9C" w:rsidRPr="004D1094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094">
        <w:rPr>
          <w:rFonts w:eastAsia="Calibri"/>
          <w:sz w:val="28"/>
          <w:szCs w:val="28"/>
          <w:lang w:eastAsia="en-US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B1E9C" w:rsidRPr="004D1094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094">
        <w:rPr>
          <w:rFonts w:eastAsia="Calibri"/>
          <w:sz w:val="28"/>
          <w:szCs w:val="28"/>
          <w:lang w:eastAsia="en-US"/>
        </w:rPr>
        <w:t>е) проект организации строительства объекта капитального строительства;</w:t>
      </w:r>
    </w:p>
    <w:p w:rsidR="00EB1E9C" w:rsidRPr="004D1094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094">
        <w:rPr>
          <w:rFonts w:eastAsia="Calibri"/>
          <w:sz w:val="28"/>
          <w:szCs w:val="28"/>
          <w:lang w:eastAsia="en-US"/>
        </w:rPr>
        <w:t>ж) проект организации работ по сносу или демонтажу объектов капитального строительства, их частей;</w:t>
      </w:r>
    </w:p>
    <w:p w:rsidR="00EB1E9C" w:rsidRPr="004D1094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1094">
        <w:rPr>
          <w:rFonts w:eastAsia="Calibri"/>
          <w:sz w:val="28"/>
          <w:szCs w:val="28"/>
          <w:lang w:eastAsia="en-US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9" w:history="1">
        <w:r w:rsidRPr="00EB1E9C">
          <w:rPr>
            <w:rFonts w:eastAsia="Calibri"/>
            <w:sz w:val="28"/>
            <w:szCs w:val="28"/>
            <w:lang w:eastAsia="en-US"/>
          </w:rPr>
          <w:t>статьей 49</w:t>
        </w:r>
      </w:hyperlink>
      <w:r w:rsidRPr="00EB1E9C">
        <w:rPr>
          <w:rFonts w:eastAsia="Calibri"/>
          <w:sz w:val="28"/>
          <w:szCs w:val="28"/>
          <w:lang w:eastAsia="en-US"/>
        </w:rPr>
        <w:t xml:space="preserve"> Г</w:t>
      </w:r>
      <w:r w:rsidRPr="004D1094">
        <w:rPr>
          <w:rFonts w:eastAsia="Calibri"/>
          <w:sz w:val="28"/>
          <w:szCs w:val="28"/>
          <w:lang w:eastAsia="en-US"/>
        </w:rPr>
        <w:t>радостроительного Кодекса Российской Федерации;</w:t>
      </w:r>
      <w:proofErr w:type="gramEnd"/>
    </w:p>
    <w:p w:rsidR="00EB1E9C" w:rsidRPr="00EB1E9C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1094">
        <w:rPr>
          <w:rFonts w:eastAsia="Calibri"/>
          <w:sz w:val="28"/>
          <w:szCs w:val="28"/>
          <w:lang w:eastAsia="en-US"/>
        </w:rP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</w:t>
      </w:r>
      <w:r w:rsidRPr="004D1094">
        <w:rPr>
          <w:rFonts w:eastAsia="Calibri"/>
          <w:sz w:val="28"/>
          <w:szCs w:val="28"/>
          <w:lang w:eastAsia="en-US"/>
        </w:rPr>
        <w:lastRenderedPageBreak/>
        <w:t xml:space="preserve">случае, предусмотренном </w:t>
      </w:r>
      <w:hyperlink r:id="rId10" w:history="1">
        <w:r w:rsidRPr="00EB1E9C">
          <w:rPr>
            <w:rFonts w:eastAsia="Calibri"/>
            <w:sz w:val="28"/>
            <w:szCs w:val="28"/>
            <w:lang w:eastAsia="en-US"/>
          </w:rPr>
          <w:t>частью 12.1 статьи 48</w:t>
        </w:r>
      </w:hyperlink>
      <w:r w:rsidRPr="00EB1E9C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1" w:history="1">
        <w:r w:rsidRPr="00EB1E9C">
          <w:rPr>
            <w:rFonts w:eastAsia="Calibri"/>
            <w:sz w:val="28"/>
            <w:szCs w:val="28"/>
            <w:lang w:eastAsia="en-US"/>
          </w:rPr>
          <w:t>статьей 49</w:t>
        </w:r>
      </w:hyperlink>
      <w:r w:rsidRPr="00EB1E9C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EB1E9C">
          <w:rPr>
            <w:rFonts w:eastAsia="Calibri"/>
            <w:sz w:val="28"/>
            <w:szCs w:val="28"/>
            <w:lang w:eastAsia="en-US"/>
          </w:rPr>
          <w:t>частью 3.4 статьи 49</w:t>
        </w:r>
      </w:hyperlink>
      <w:r w:rsidRPr="00EB1E9C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EB1E9C">
        <w:rPr>
          <w:rFonts w:eastAsia="Calibri"/>
          <w:sz w:val="28"/>
          <w:szCs w:val="28"/>
          <w:lang w:eastAsia="en-US"/>
        </w:rPr>
        <w:t xml:space="preserve"> экологической экспертизы проектной документации в случаях, предусмотренных </w:t>
      </w:r>
      <w:hyperlink r:id="rId13" w:history="1">
        <w:r w:rsidRPr="00EB1E9C">
          <w:rPr>
            <w:rFonts w:eastAsia="Calibri"/>
            <w:sz w:val="28"/>
            <w:szCs w:val="28"/>
            <w:lang w:eastAsia="en-US"/>
          </w:rPr>
          <w:t>частью 6 статьи 49</w:t>
        </w:r>
      </w:hyperlink>
      <w:r w:rsidRPr="00EB1E9C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EB1E9C" w:rsidRPr="00EB1E9C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1E9C">
        <w:rPr>
          <w:rFonts w:eastAsia="Calibri"/>
          <w:sz w:val="28"/>
          <w:szCs w:val="28"/>
          <w:lang w:eastAsia="en-US"/>
        </w:rPr>
        <w:t xml:space="preserve">6) заключение, предусмотренное </w:t>
      </w:r>
      <w:hyperlink r:id="rId14" w:history="1">
        <w:r w:rsidRPr="00EB1E9C">
          <w:rPr>
            <w:rFonts w:eastAsia="Calibri"/>
            <w:sz w:val="28"/>
            <w:szCs w:val="28"/>
            <w:lang w:eastAsia="en-US"/>
          </w:rPr>
          <w:t>частью 3.5 статьи 49</w:t>
        </w:r>
      </w:hyperlink>
      <w:r w:rsidRPr="00EB1E9C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в случае использования модифицированной проектной документации;</w:t>
      </w:r>
    </w:p>
    <w:p w:rsidR="00EB1E9C" w:rsidRPr="00EB1E9C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1E9C">
        <w:rPr>
          <w:rFonts w:eastAsia="Calibri"/>
          <w:sz w:val="28"/>
          <w:szCs w:val="28"/>
          <w:lang w:eastAsia="en-US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history="1">
        <w:r w:rsidRPr="00EB1E9C">
          <w:rPr>
            <w:rFonts w:eastAsia="Calibri"/>
            <w:sz w:val="28"/>
            <w:szCs w:val="28"/>
            <w:lang w:eastAsia="en-US"/>
          </w:rPr>
          <w:t>статьей 40</w:t>
        </w:r>
      </w:hyperlink>
      <w:r w:rsidRPr="00EB1E9C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Федерации);</w:t>
      </w:r>
    </w:p>
    <w:p w:rsidR="00EB1E9C" w:rsidRPr="004D1094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1E9C">
        <w:rPr>
          <w:rFonts w:eastAsia="Calibri"/>
          <w:sz w:val="28"/>
          <w:szCs w:val="28"/>
          <w:lang w:eastAsia="en-US"/>
        </w:rPr>
        <w:t xml:space="preserve">8)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41" w:history="1">
        <w:r w:rsidRPr="00EB1E9C">
          <w:rPr>
            <w:rFonts w:eastAsia="Calibri"/>
            <w:sz w:val="28"/>
            <w:szCs w:val="28"/>
            <w:lang w:eastAsia="en-US"/>
          </w:rPr>
          <w:t>пункте 6.2</w:t>
        </w:r>
      </w:hyperlink>
      <w:r w:rsidRPr="004D1094">
        <w:rPr>
          <w:rFonts w:eastAsia="Calibri"/>
          <w:sz w:val="28"/>
          <w:szCs w:val="28"/>
          <w:lang w:eastAsia="en-US"/>
        </w:rPr>
        <w:t xml:space="preserve"> части 7 статьи 51 Градостроительного Кодекса Российской Федерации случаев реконструкции многоквартирного дома;</w:t>
      </w:r>
    </w:p>
    <w:p w:rsidR="00EB1E9C" w:rsidRPr="004D1094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1094">
        <w:rPr>
          <w:rFonts w:eastAsia="Calibri"/>
          <w:sz w:val="28"/>
          <w:szCs w:val="28"/>
          <w:lang w:eastAsia="en-US"/>
        </w:rPr>
        <w:t>9)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</w:t>
      </w:r>
      <w:r>
        <w:rPr>
          <w:rFonts w:eastAsia="Calibri"/>
          <w:sz w:val="28"/>
          <w:szCs w:val="28"/>
          <w:lang w:eastAsia="en-US"/>
        </w:rPr>
        <w:t>о атомной энергии «</w:t>
      </w:r>
      <w:proofErr w:type="spellStart"/>
      <w:r>
        <w:rPr>
          <w:rFonts w:eastAsia="Calibri"/>
          <w:sz w:val="28"/>
          <w:szCs w:val="28"/>
          <w:lang w:eastAsia="en-US"/>
        </w:rPr>
        <w:t>Росатом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4D1094">
        <w:rPr>
          <w:rFonts w:eastAsia="Calibri"/>
          <w:sz w:val="28"/>
          <w:szCs w:val="28"/>
          <w:lang w:eastAsia="en-US"/>
        </w:rPr>
        <w:t>, Государственной корпораци</w:t>
      </w:r>
      <w:r>
        <w:rPr>
          <w:rFonts w:eastAsia="Calibri"/>
          <w:sz w:val="28"/>
          <w:szCs w:val="28"/>
          <w:lang w:eastAsia="en-US"/>
        </w:rPr>
        <w:t>ей по космической деятельности «</w:t>
      </w:r>
      <w:proofErr w:type="spellStart"/>
      <w:r>
        <w:rPr>
          <w:rFonts w:eastAsia="Calibri"/>
          <w:sz w:val="28"/>
          <w:szCs w:val="28"/>
          <w:lang w:eastAsia="en-US"/>
        </w:rPr>
        <w:t>Роскосмос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4D1094">
        <w:rPr>
          <w:rFonts w:eastAsia="Calibri"/>
          <w:sz w:val="28"/>
          <w:szCs w:val="28"/>
          <w:lang w:eastAsia="en-US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4D1094">
        <w:rPr>
          <w:rFonts w:eastAsia="Calibri"/>
          <w:sz w:val="28"/>
          <w:szCs w:val="28"/>
          <w:lang w:eastAsia="en-US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4D1094">
        <w:rPr>
          <w:rFonts w:eastAsia="Calibri"/>
          <w:sz w:val="28"/>
          <w:szCs w:val="28"/>
          <w:lang w:eastAsia="en-US"/>
        </w:rPr>
        <w:t>определяющее</w:t>
      </w:r>
      <w:proofErr w:type="gramEnd"/>
      <w:r w:rsidRPr="004D1094">
        <w:rPr>
          <w:rFonts w:eastAsia="Calibri"/>
          <w:sz w:val="28"/>
          <w:szCs w:val="28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B1E9C" w:rsidRPr="004D1094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41"/>
      <w:bookmarkEnd w:id="0"/>
      <w:r w:rsidRPr="004D1094">
        <w:rPr>
          <w:rFonts w:eastAsia="Calibri"/>
          <w:sz w:val="28"/>
          <w:szCs w:val="28"/>
          <w:lang w:eastAsia="en-US"/>
        </w:rPr>
        <w:t xml:space="preserve">10) решение общего собрания собственников помещений в многоквартирном доме, принятое в соответствии с жилищным </w:t>
      </w:r>
      <w:hyperlink r:id="rId16" w:history="1">
        <w:r w:rsidRPr="00EB1E9C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EB1E9C">
        <w:rPr>
          <w:rFonts w:eastAsia="Calibri"/>
          <w:sz w:val="28"/>
          <w:szCs w:val="28"/>
          <w:lang w:eastAsia="en-US"/>
        </w:rPr>
        <w:t xml:space="preserve"> в сл</w:t>
      </w:r>
      <w:r w:rsidRPr="004D1094">
        <w:rPr>
          <w:rFonts w:eastAsia="Calibri"/>
          <w:sz w:val="28"/>
          <w:szCs w:val="28"/>
          <w:lang w:eastAsia="en-US"/>
        </w:rPr>
        <w:t>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EB1E9C" w:rsidRPr="004D1094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094">
        <w:rPr>
          <w:rFonts w:eastAsia="Calibri"/>
          <w:sz w:val="28"/>
          <w:szCs w:val="28"/>
          <w:lang w:eastAsia="en-US"/>
        </w:rPr>
        <w:t>11)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B1E9C" w:rsidRPr="004D1094" w:rsidRDefault="00EB1E9C" w:rsidP="00EB1E9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094">
        <w:rPr>
          <w:rFonts w:eastAsia="Calibri"/>
          <w:sz w:val="28"/>
          <w:szCs w:val="28"/>
          <w:lang w:eastAsia="en-US"/>
        </w:rPr>
        <w:t xml:space="preserve">12) документы, предусмотренные законодательством Российской Федерации об объектах культурного наследия, в случае, если при проведении работ по </w:t>
      </w:r>
      <w:r w:rsidRPr="004D1094">
        <w:rPr>
          <w:rFonts w:eastAsia="Calibri"/>
          <w:sz w:val="28"/>
          <w:szCs w:val="28"/>
          <w:lang w:eastAsia="en-US"/>
        </w:rPr>
        <w:lastRenderedPageBreak/>
        <w:t>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EB1E9C" w:rsidRPr="004D1094" w:rsidRDefault="00EB1E9C" w:rsidP="00EB1E9C">
      <w:pPr>
        <w:suppressAutoHyphens/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Pr="004D1094">
        <w:rPr>
          <w:rFonts w:eastAsia="Calibri"/>
          <w:sz w:val="28"/>
          <w:szCs w:val="28"/>
          <w:lang w:eastAsia="en-US"/>
        </w:rPr>
        <w:t>) доверенность, оформленная в установленном законом порядке (в случае представления интересов получателя муниципальной услуги другим лицом)</w:t>
      </w:r>
      <w:proofErr w:type="gramStart"/>
      <w:r w:rsidRPr="004D1094">
        <w:rPr>
          <w:rFonts w:eastAsia="Calibri"/>
          <w:sz w:val="28"/>
          <w:szCs w:val="28"/>
          <w:lang w:eastAsia="en-US"/>
        </w:rPr>
        <w:t>.</w:t>
      </w:r>
      <w:r w:rsidRPr="004D1094">
        <w:rPr>
          <w:sz w:val="28"/>
          <w:szCs w:val="28"/>
        </w:rPr>
        <w:t>»</w:t>
      </w:r>
      <w:proofErr w:type="gramEnd"/>
      <w:r w:rsidRPr="004D1094">
        <w:rPr>
          <w:sz w:val="28"/>
          <w:szCs w:val="28"/>
        </w:rPr>
        <w:t>;</w:t>
      </w:r>
    </w:p>
    <w:p w:rsidR="00EB1E9C" w:rsidRDefault="00EB1E9C" w:rsidP="00EB1E9C">
      <w:pPr>
        <w:autoSpaceDE/>
        <w:autoSpaceDN/>
        <w:ind w:firstLine="709"/>
        <w:jc w:val="both"/>
        <w:rPr>
          <w:sz w:val="28"/>
          <w:szCs w:val="28"/>
        </w:rPr>
      </w:pPr>
      <w:r w:rsidRPr="00A31362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Pr="00A31362">
        <w:rPr>
          <w:sz w:val="28"/>
          <w:szCs w:val="28"/>
        </w:rPr>
        <w:t>пункт</w:t>
      </w:r>
      <w:r>
        <w:rPr>
          <w:sz w:val="28"/>
          <w:szCs w:val="28"/>
        </w:rPr>
        <w:t>е 2.8</w:t>
      </w:r>
      <w:r w:rsidRPr="00A31362">
        <w:rPr>
          <w:sz w:val="28"/>
          <w:szCs w:val="28"/>
        </w:rPr>
        <w:t xml:space="preserve">. раздела 2 Административного регламента </w:t>
      </w:r>
      <w:r>
        <w:rPr>
          <w:sz w:val="28"/>
          <w:szCs w:val="28"/>
        </w:rPr>
        <w:t>цифру «4» заменить цифрой «3»;</w:t>
      </w:r>
    </w:p>
    <w:p w:rsidR="00EB1E9C" w:rsidRDefault="00EB1E9C" w:rsidP="00EB1E9C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подпункте 3.2.3. пункта 3.2. раздела 3 Административного регламента цифру «4» заменить цифрой «3»;</w:t>
      </w:r>
    </w:p>
    <w:p w:rsidR="00EB1E9C" w:rsidRDefault="00EB1E9C" w:rsidP="00EB1E9C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второй и восьмой абзацы подпункта 3.2.4. пункта 3.2. раздела 3 Административного регламента после слов «об отказе в выдаче разрешения на строительство» дополнить словами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«реконструкцию».</w:t>
      </w:r>
    </w:p>
    <w:p w:rsidR="00EB1E9C" w:rsidRPr="004D1094" w:rsidRDefault="00EB1E9C" w:rsidP="00EB1E9C">
      <w:pPr>
        <w:autoSpaceDE/>
        <w:autoSpaceDN/>
        <w:ind w:firstLine="709"/>
        <w:jc w:val="both"/>
        <w:rPr>
          <w:sz w:val="28"/>
          <w:szCs w:val="28"/>
        </w:rPr>
      </w:pPr>
      <w:r w:rsidRPr="004D1094">
        <w:rPr>
          <w:sz w:val="28"/>
          <w:szCs w:val="28"/>
        </w:rPr>
        <w:t>2.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EB1E9C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EB1E9C">
        <w:rPr>
          <w:rFonts w:eastAsia="Calibri"/>
          <w:sz w:val="28"/>
          <w:szCs w:val="22"/>
          <w:lang w:eastAsia="en-US"/>
        </w:rPr>
        <w:t xml:space="preserve">  </w:t>
      </w:r>
      <w:bookmarkStart w:id="1" w:name="_GoBack"/>
      <w:bookmarkEnd w:id="1"/>
      <w:r w:rsidR="00EB1E9C">
        <w:rPr>
          <w:rFonts w:eastAsia="Calibri"/>
          <w:sz w:val="28"/>
          <w:szCs w:val="22"/>
          <w:lang w:eastAsia="en-US"/>
        </w:rPr>
        <w:t>В.П. Матюшенко</w:t>
      </w:r>
    </w:p>
    <w:sectPr w:rsidR="003B46EB" w:rsidRPr="003B46EB" w:rsidSect="00610542">
      <w:headerReference w:type="default" r:id="rId1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DB" w:rsidRDefault="003848DB" w:rsidP="00610542">
      <w:r>
        <w:separator/>
      </w:r>
    </w:p>
  </w:endnote>
  <w:endnote w:type="continuationSeparator" w:id="0">
    <w:p w:rsidR="003848DB" w:rsidRDefault="003848D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DB" w:rsidRDefault="003848DB" w:rsidP="00610542">
      <w:r>
        <w:separator/>
      </w:r>
    </w:p>
  </w:footnote>
  <w:footnote w:type="continuationSeparator" w:id="0">
    <w:p w:rsidR="003848DB" w:rsidRDefault="003848D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E9C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848DB"/>
    <w:rsid w:val="003B46EB"/>
    <w:rsid w:val="00610542"/>
    <w:rsid w:val="00B648BE"/>
    <w:rsid w:val="00BB6912"/>
    <w:rsid w:val="00BE4629"/>
    <w:rsid w:val="00C877BC"/>
    <w:rsid w:val="00DC4A4B"/>
    <w:rsid w:val="00E21894"/>
    <w:rsid w:val="00EB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B1E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B1E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C349DF728FE3EAEC0FFAF443BB960FAFA337078B27EACE869271240332589BC838EB8DAE0MFbDJ" TargetMode="External"/><Relationship Id="rId13" Type="http://schemas.openxmlformats.org/officeDocument/2006/relationships/hyperlink" Target="consultantplus://offline/ref=879C349DF728FE3EAEC0FFAF443BB960FAFA337077B27EACE869271240332589BC838EBAD3E3F19DM3b6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79C349DF728FE3EAEC0FFAF443BB960FAFA337077B27EACE869271240332589BC838EBED3MEb2J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9C349DF728FE3EAEC0FFAF443BB960FAFA327879B07EACE869271240332589BC838EBAD3E2F69FM3b1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9C349DF728FE3EAEC0FFAF443BB960FAFA337077B27EACE869271240332589BC838EBAD3E3F594M3b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9C349DF728FE3EAEC0FFAF443BB960FAFA337077B27EACE869271240332589BC838EBAD3E2F39FM3bCJ" TargetMode="External"/><Relationship Id="rId10" Type="http://schemas.openxmlformats.org/officeDocument/2006/relationships/hyperlink" Target="consultantplus://offline/ref=879C349DF728FE3EAEC0FFAF443BB960FAFA337077B27EACE869271240332589BC838EBFD7MEbA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C349DF728FE3EAEC0FFAF443BB960FAFA337077B27EACE869271240332589BC838EBAD3E3F594M3b5J" TargetMode="External"/><Relationship Id="rId14" Type="http://schemas.openxmlformats.org/officeDocument/2006/relationships/hyperlink" Target="consultantplus://offline/ref=879C349DF728FE3EAEC0FFAF443BB960FAFA337077B27EACE869271240332589BC838EBAD0E3MF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2016-11-14T06:22:00Z</cp:lastPrinted>
  <dcterms:created xsi:type="dcterms:W3CDTF">2016-01-13T10:54:00Z</dcterms:created>
  <dcterms:modified xsi:type="dcterms:W3CDTF">2016-11-14T06:22:00Z</dcterms:modified>
</cp:coreProperties>
</file>