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40" w:rsidRDefault="009B5888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740716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="00740716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муниципального нормативного </w:t>
      </w:r>
    </w:p>
    <w:p w:rsidR="00740716" w:rsidRDefault="00740716" w:rsidP="0074071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правового</w:t>
      </w:r>
      <w:proofErr w:type="gramEnd"/>
      <w:r>
        <w:rPr>
          <w:sz w:val="28"/>
          <w:szCs w:val="28"/>
        </w:rPr>
        <w:t xml:space="preserve"> акта</w:t>
      </w:r>
      <w:r w:rsidRPr="0076711D">
        <w:rPr>
          <w:sz w:val="28"/>
          <w:szCs w:val="28"/>
        </w:rPr>
        <w:t xml:space="preserve"> </w:t>
      </w:r>
    </w:p>
    <w:p w:rsidR="00740716" w:rsidRPr="009B4A6D" w:rsidRDefault="00740716" w:rsidP="00740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1"/>
      </w:tblGrid>
      <w:tr w:rsidR="00740716" w:rsidRPr="00A92DF6" w:rsidTr="00E25C38">
        <w:trPr>
          <w:trHeight w:val="1679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 xml:space="preserve">1. Реквизиты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F2073">
              <w:rPr>
                <w:sz w:val="28"/>
                <w:szCs w:val="28"/>
              </w:rPr>
              <w:t>нормативного правового акта:</w:t>
            </w:r>
          </w:p>
          <w:p w:rsid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вид</w:t>
            </w:r>
            <w:proofErr w:type="gramEnd"/>
            <w:r>
              <w:rPr>
                <w:sz w:val="28"/>
                <w:szCs w:val="28"/>
              </w:rPr>
              <w:t xml:space="preserve">, сфера муниципального регулирования проекта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или его отдельных положений, наименование):</w:t>
            </w:r>
          </w:p>
          <w:p w:rsidR="00740716" w:rsidRPr="005E64C8" w:rsidRDefault="00DC57E6" w:rsidP="00E25C3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</w:t>
            </w:r>
            <w:r w:rsidRPr="00DC57E6">
              <w:rPr>
                <w:i/>
                <w:sz w:val="28"/>
                <w:szCs w:val="28"/>
              </w:rPr>
              <w:t>дминистративн</w:t>
            </w:r>
            <w:r>
              <w:rPr>
                <w:i/>
                <w:sz w:val="28"/>
                <w:szCs w:val="28"/>
              </w:rPr>
              <w:t xml:space="preserve">ый </w:t>
            </w:r>
            <w:r w:rsidRPr="00DC57E6">
              <w:rPr>
                <w:i/>
                <w:sz w:val="28"/>
                <w:szCs w:val="28"/>
              </w:rPr>
              <w:t>регламент предоставления муниципальной услуги</w:t>
            </w:r>
            <w:r>
              <w:rPr>
                <w:i/>
                <w:sz w:val="28"/>
                <w:szCs w:val="28"/>
              </w:rPr>
              <w:t>:</w:t>
            </w:r>
            <w:r w:rsidRPr="00DC57E6">
              <w:rPr>
                <w:i/>
                <w:sz w:val="28"/>
                <w:szCs w:val="28"/>
              </w:rPr>
              <w:t xml:space="preserve"> «Выдача разрешение на строительство»</w:t>
            </w:r>
          </w:p>
        </w:tc>
      </w:tr>
      <w:tr w:rsidR="00740716" w:rsidRPr="00A92DF6" w:rsidTr="00B13777">
        <w:trPr>
          <w:trHeight w:val="1180"/>
        </w:trPr>
        <w:tc>
          <w:tcPr>
            <w:tcW w:w="9901" w:type="dxa"/>
            <w:tcBorders>
              <w:right w:val="single" w:sz="4" w:space="0" w:color="auto"/>
            </w:tcBorders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2. Сведения о разработчике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>:</w:t>
            </w:r>
          </w:p>
          <w:p w:rsidR="00740716" w:rsidRPr="00DC57E6" w:rsidRDefault="00740716" w:rsidP="00DC57E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Разработчик проекта НПА: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 w:val="28"/>
                <w:szCs w:val="28"/>
                <w:u w:val="single"/>
              </w:rPr>
              <w:t>Михеева Ольга Владимировна</w:t>
            </w:r>
            <w:r w:rsidRPr="00026583">
              <w:t xml:space="preserve">     </w:t>
            </w:r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u w:val="single"/>
              </w:rPr>
            </w:pPr>
            <w:r w:rsidRPr="00026583">
              <w:t>Должность:</w:t>
            </w:r>
            <w:r w:rsidR="00DC57E6">
              <w:t xml:space="preserve"> </w:t>
            </w:r>
            <w:r w:rsidR="00DC57E6">
              <w:rPr>
                <w:i/>
                <w:u w:val="single"/>
              </w:rPr>
              <w:t>ведущий специалист отдела архитектуры и градостроительства администрации Камышловского городского округа</w:t>
            </w:r>
          </w:p>
          <w:p w:rsidR="00740716" w:rsidRPr="00026583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Тел:</w:t>
            </w:r>
            <w:r w:rsidR="00DC57E6">
              <w:rPr>
                <w:i/>
                <w:u w:val="single"/>
              </w:rPr>
              <w:t>(34375)2-47-37</w:t>
            </w:r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026583">
              <w:t>Адрес электронной почты:</w:t>
            </w:r>
            <w:proofErr w:type="spellStart"/>
            <w:r w:rsidR="00DC57E6">
              <w:rPr>
                <w:i/>
                <w:u w:val="single"/>
                <w:lang w:val="en-US"/>
              </w:rPr>
              <w:t>archKGO</w:t>
            </w:r>
            <w:proofErr w:type="spellEnd"/>
            <w:r w:rsidR="00DC57E6" w:rsidRPr="00DC57E6">
              <w:rPr>
                <w:i/>
                <w:u w:val="single"/>
              </w:rPr>
              <w:t>@</w:t>
            </w:r>
            <w:proofErr w:type="spellStart"/>
            <w:r w:rsidR="00DC57E6">
              <w:rPr>
                <w:i/>
                <w:u w:val="single"/>
                <w:lang w:val="en-US"/>
              </w:rPr>
              <w:t>yandex</w:t>
            </w:r>
            <w:proofErr w:type="spellEnd"/>
            <w:r w:rsidR="00DC57E6" w:rsidRPr="00DC57E6">
              <w:rPr>
                <w:i/>
                <w:u w:val="single"/>
              </w:rPr>
              <w:t>.</w:t>
            </w:r>
            <w:proofErr w:type="spellStart"/>
            <w:r w:rsidR="00DC57E6">
              <w:rPr>
                <w:i/>
                <w:u w:val="single"/>
                <w:lang w:val="en-US"/>
              </w:rPr>
              <w:t>ru</w:t>
            </w:r>
            <w:proofErr w:type="spellEnd"/>
          </w:p>
          <w:p w:rsidR="00740716" w:rsidRPr="00DC57E6" w:rsidRDefault="00740716" w:rsidP="00B13777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  <w:u w:val="single"/>
              </w:rPr>
            </w:pPr>
            <w:r w:rsidRPr="00026583">
              <w:t>Фактический адрес</w:t>
            </w:r>
            <w:r>
              <w:rPr>
                <w:sz w:val="28"/>
                <w:szCs w:val="28"/>
              </w:rPr>
              <w:t>:</w:t>
            </w:r>
            <w:r w:rsidR="00DC57E6">
              <w:rPr>
                <w:sz w:val="28"/>
                <w:szCs w:val="28"/>
              </w:rPr>
              <w:t xml:space="preserve"> </w:t>
            </w:r>
            <w:r w:rsidR="00DC57E6" w:rsidRPr="00DC57E6">
              <w:rPr>
                <w:i/>
                <w:szCs w:val="28"/>
                <w:u w:val="single"/>
              </w:rPr>
              <w:t>Свердловская область, город Камышлов, улица Свердлова, 41</w:t>
            </w:r>
          </w:p>
          <w:p w:rsidR="00740716" w:rsidRPr="00A92DF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357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3. Степень регулирующего воздействия проекта</w:t>
            </w:r>
            <w:r>
              <w:rPr>
                <w:sz w:val="28"/>
                <w:szCs w:val="28"/>
              </w:rPr>
              <w:t xml:space="preserve"> </w:t>
            </w:r>
            <w:r w:rsidRPr="00C164F8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а:</w:t>
            </w:r>
          </w:p>
        </w:tc>
      </w:tr>
      <w:tr w:rsidR="00740716" w:rsidRPr="00A92DF6" w:rsidTr="00B13777">
        <w:trPr>
          <w:trHeight w:val="1170"/>
        </w:trPr>
        <w:tc>
          <w:tcPr>
            <w:tcW w:w="9901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</w:pPr>
            <w:r w:rsidRPr="00327FD0">
              <w:t>3.1.</w:t>
            </w:r>
            <w:r w:rsidR="004B34A0">
              <w:t xml:space="preserve"> </w:t>
            </w:r>
            <w:r w:rsidRPr="00327FD0">
              <w:t xml:space="preserve">Степень регулирующего воздействия проекта </w:t>
            </w:r>
            <w:r w:rsidRPr="00F933AE">
              <w:t>нормативного правового акта</w:t>
            </w:r>
            <w:r w:rsidRPr="00327FD0">
              <w:t xml:space="preserve"> (высокая/средняя/низкая): </w:t>
            </w:r>
            <w:r w:rsidR="004B34A0" w:rsidRPr="004B34A0">
              <w:rPr>
                <w:i/>
                <w:sz w:val="28"/>
              </w:rPr>
              <w:t>низкая</w:t>
            </w:r>
            <w:r w:rsidR="004B34A0" w:rsidRPr="00DC57E6">
              <w:rPr>
                <w:i/>
              </w:rPr>
              <w:t xml:space="preserve"> </w:t>
            </w:r>
          </w:p>
          <w:p w:rsidR="00DC57E6" w:rsidRDefault="00740716" w:rsidP="00DC57E6">
            <w:pPr>
              <w:autoSpaceDE w:val="0"/>
              <w:autoSpaceDN w:val="0"/>
              <w:adjustRightInd w:val="0"/>
              <w:jc w:val="both"/>
            </w:pPr>
            <w:r w:rsidRPr="00327FD0">
              <w:t>3.2.</w:t>
            </w:r>
            <w:r w:rsidR="004B34A0">
              <w:t xml:space="preserve"> </w:t>
            </w:r>
            <w:r w:rsidRPr="00327FD0">
              <w:t xml:space="preserve">Обоснование отнесения проекта </w:t>
            </w:r>
            <w:r w:rsidRPr="00F933AE">
              <w:t>нормативного правового акта</w:t>
            </w:r>
            <w:r w:rsidRPr="00327FD0">
              <w:t xml:space="preserve"> к определенной степени регулирующего воздействия:</w:t>
            </w:r>
            <w:r w:rsidR="00DC57E6">
              <w:t xml:space="preserve"> </w:t>
            </w:r>
          </w:p>
          <w:p w:rsidR="00740716" w:rsidRDefault="004B34A0" w:rsidP="004B34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</w:rPr>
              <w:t>п</w:t>
            </w:r>
            <w:r w:rsidRPr="004B34A0">
              <w:rPr>
                <w:i/>
                <w:sz w:val="28"/>
              </w:rPr>
              <w:t>роект</w:t>
            </w:r>
            <w:proofErr w:type="gramEnd"/>
            <w:r w:rsidRPr="004B34A0">
              <w:rPr>
                <w:i/>
                <w:sz w:val="28"/>
              </w:rPr>
              <w:t xml:space="preserve"> Административного регламента не содержит положений, изменяющих ранее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предусмотренные законодательством обязанности, запреты и ограничения для физических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юридических лиц в сфере предпринимательской и инвестиционной деятельности и не способствует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их установлению, а также положений, приводящих к возникновению ранее не предусмотренных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законодательством расходов физических и юридических лиц в сфере предпринимательской и</w:t>
            </w:r>
            <w:r>
              <w:rPr>
                <w:i/>
                <w:sz w:val="28"/>
              </w:rPr>
              <w:t xml:space="preserve"> </w:t>
            </w:r>
            <w:r w:rsidRPr="004B34A0">
              <w:rPr>
                <w:i/>
                <w:sz w:val="28"/>
              </w:rPr>
              <w:t>инвестиционной деятельности.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4</w:t>
            </w:r>
            <w:r w:rsidRPr="006A135D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740716" w:rsidRPr="00A92DF6" w:rsidTr="00B13777">
        <w:trPr>
          <w:trHeight w:val="937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974407">
              <w:t xml:space="preserve"> </w:t>
            </w:r>
          </w:p>
          <w:p w:rsidR="00740716" w:rsidRPr="00327FD0" w:rsidRDefault="00974407" w:rsidP="00974407">
            <w:pPr>
              <w:autoSpaceDE w:val="0"/>
              <w:autoSpaceDN w:val="0"/>
              <w:adjustRightInd w:val="0"/>
              <w:jc w:val="both"/>
            </w:pPr>
            <w:r w:rsidRPr="00974407">
              <w:rPr>
                <w:i/>
                <w:sz w:val="28"/>
              </w:rPr>
              <w:t>Проблемой является отсутствие четкой регламентации механизма предоставления администрацией Камышловского городского округа муниципальной услуги по выдаче разрешения на строительство объектов капитального строительства, расположенных на территории муниципального образования Камышловский городской округ.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>Проект Административного регламента направлен на упорядочивание проводимых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>административных процедур, определение сроков и последовательности действий по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 xml:space="preserve">предоставлению </w:t>
            </w:r>
            <w:r>
              <w:rPr>
                <w:i/>
                <w:sz w:val="28"/>
              </w:rPr>
              <w:t>муниципальной</w:t>
            </w:r>
            <w:r w:rsidRPr="00974407">
              <w:rPr>
                <w:i/>
                <w:sz w:val="28"/>
              </w:rPr>
              <w:t xml:space="preserve"> услуги.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974407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327FD0">
              <w:t>4.2. Оценка негативных эффектов, возникающих в связи с наличием рассматриваемой проблемы:</w:t>
            </w:r>
            <w:bookmarkStart w:id="0" w:name="_GoBack"/>
            <w:bookmarkEnd w:id="0"/>
          </w:p>
          <w:p w:rsidR="00740716" w:rsidRPr="00327FD0" w:rsidRDefault="00974407" w:rsidP="00974407">
            <w:pPr>
              <w:autoSpaceDE w:val="0"/>
              <w:autoSpaceDN w:val="0"/>
              <w:adjustRightInd w:val="0"/>
              <w:jc w:val="both"/>
            </w:pPr>
            <w:r w:rsidRPr="00974407">
              <w:rPr>
                <w:i/>
                <w:sz w:val="28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по выдаче </w:t>
            </w:r>
            <w:r w:rsidRPr="00974407">
              <w:rPr>
                <w:i/>
                <w:sz w:val="28"/>
              </w:rPr>
              <w:lastRenderedPageBreak/>
              <w:t>разрешения на строительство объектов капитального строительства, расположенных на территории муниципального</w:t>
            </w:r>
            <w:r>
              <w:rPr>
                <w:i/>
                <w:sz w:val="28"/>
              </w:rPr>
              <w:t xml:space="preserve"> </w:t>
            </w:r>
            <w:r w:rsidRPr="00974407">
              <w:rPr>
                <w:i/>
                <w:sz w:val="28"/>
              </w:rPr>
              <w:t xml:space="preserve">образования </w:t>
            </w:r>
            <w:r>
              <w:rPr>
                <w:i/>
                <w:sz w:val="28"/>
              </w:rPr>
              <w:t>Камышловский городской округ.</w:t>
            </w:r>
          </w:p>
        </w:tc>
      </w:tr>
      <w:tr w:rsidR="00740716" w:rsidRPr="00A92DF6" w:rsidTr="00974407">
        <w:trPr>
          <w:trHeight w:val="776"/>
        </w:trPr>
        <w:tc>
          <w:tcPr>
            <w:tcW w:w="9901" w:type="dxa"/>
          </w:tcPr>
          <w:p w:rsidR="00740716" w:rsidRPr="00DF2073" w:rsidRDefault="00740716" w:rsidP="00974407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lastRenderedPageBreak/>
              <w:t xml:space="preserve">5. </w:t>
            </w:r>
            <w:r>
              <w:rPr>
                <w:sz w:val="28"/>
                <w:szCs w:val="28"/>
              </w:rPr>
              <w:t>Описание предлагаемого с</w:t>
            </w:r>
            <w:r w:rsidRPr="00DF2073">
              <w:rPr>
                <w:sz w:val="28"/>
                <w:szCs w:val="28"/>
              </w:rPr>
              <w:t>пособ</w:t>
            </w:r>
            <w:r>
              <w:rPr>
                <w:sz w:val="28"/>
                <w:szCs w:val="28"/>
              </w:rPr>
              <w:t>а</w:t>
            </w:r>
            <w:r w:rsidRPr="00DF2073">
              <w:rPr>
                <w:sz w:val="28"/>
                <w:szCs w:val="28"/>
              </w:rPr>
              <w:t xml:space="preserve"> муниципального регулирования,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способ</w:t>
            </w:r>
            <w:r>
              <w:rPr>
                <w:sz w:val="28"/>
                <w:szCs w:val="28"/>
              </w:rPr>
              <w:t>ов</w:t>
            </w:r>
            <w:r w:rsidRPr="00DF2073">
              <w:rPr>
                <w:sz w:val="28"/>
                <w:szCs w:val="28"/>
              </w:rPr>
              <w:t xml:space="preserve"> решения проблемы:</w:t>
            </w:r>
            <w:r w:rsidR="00974407">
              <w:rPr>
                <w:sz w:val="28"/>
                <w:szCs w:val="28"/>
              </w:rPr>
              <w:t xml:space="preserve"> </w:t>
            </w:r>
            <w:r w:rsidR="00974407" w:rsidRPr="00974407">
              <w:rPr>
                <w:i/>
                <w:sz w:val="28"/>
                <w:szCs w:val="28"/>
              </w:rPr>
              <w:t>отсутствуют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740716" w:rsidRPr="00393BEB" w:rsidRDefault="00974407" w:rsidP="009B588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74407">
              <w:rPr>
                <w:sz w:val="28"/>
                <w:szCs w:val="28"/>
              </w:rPr>
              <w:t>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  от 30 апреля 2014 года № 403 «Об исчерпывающем перечне процедур в сфере жилищного строительства», постановлением Правительства Российской Федерации от 15 июня 2009 N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главы Камышловского городского округа от 27 июля 2009 года № 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 Правилами землепользования и застройки Камышловского городского округа, утвержденных Решением Думы Камышловского городского округа от 16 июля 2009 года № 346, постановлением главы Камышловского городского округа от 11 сентября 2014 года № 1486 «Об утверждении перечня муниципальных услуг, предоставляемых через «Многофункциональный центр предоставления государственных и муниципальных услуг» на территории Камышл</w:t>
            </w:r>
            <w:r>
              <w:rPr>
                <w:sz w:val="28"/>
                <w:szCs w:val="28"/>
              </w:rPr>
              <w:t>овского городского округа»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0910BA" w:rsidRDefault="00740716" w:rsidP="00B137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Сведения об о</w:t>
            </w:r>
            <w:r w:rsidRPr="00DF2073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 субъектов</w:t>
            </w:r>
            <w:r>
              <w:rPr>
                <w:sz w:val="28"/>
                <w:szCs w:val="28"/>
              </w:rPr>
              <w:t xml:space="preserve">  </w:t>
            </w:r>
            <w:r w:rsidRPr="00DF2073">
              <w:rPr>
                <w:sz w:val="28"/>
                <w:szCs w:val="28"/>
              </w:rPr>
              <w:t xml:space="preserve"> предпринимательской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и инвестиционной деятельности, ины</w:t>
            </w:r>
            <w:r>
              <w:rPr>
                <w:sz w:val="28"/>
                <w:szCs w:val="28"/>
              </w:rPr>
              <w:t>х</w:t>
            </w:r>
            <w:r w:rsidRPr="00DF2073">
              <w:rPr>
                <w:sz w:val="28"/>
                <w:szCs w:val="28"/>
              </w:rPr>
              <w:t xml:space="preserve"> групп</w:t>
            </w:r>
            <w:r>
              <w:rPr>
                <w:sz w:val="28"/>
                <w:szCs w:val="28"/>
              </w:rPr>
              <w:t>ах</w:t>
            </w:r>
            <w:r w:rsidRPr="00DF2073">
              <w:rPr>
                <w:sz w:val="28"/>
                <w:szCs w:val="28"/>
              </w:rPr>
              <w:t xml:space="preserve">, включая органы </w:t>
            </w:r>
            <w:r>
              <w:rPr>
                <w:sz w:val="28"/>
                <w:szCs w:val="28"/>
              </w:rPr>
              <w:t>местного</w:t>
            </w:r>
            <w:r w:rsidRPr="00DF2073">
              <w:rPr>
                <w:sz w:val="28"/>
                <w:szCs w:val="28"/>
              </w:rPr>
              <w:t xml:space="preserve"> самоуправления, муниципальные организации, интересы которых </w:t>
            </w:r>
            <w:r>
              <w:rPr>
                <w:sz w:val="28"/>
                <w:szCs w:val="28"/>
              </w:rPr>
              <w:t xml:space="preserve">затрагиваются </w:t>
            </w:r>
            <w:r w:rsidRPr="00DF2073">
              <w:rPr>
                <w:sz w:val="28"/>
                <w:szCs w:val="28"/>
              </w:rPr>
              <w:t>предлагаемым муниципальным регулированием, количественная оценка таких групп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7.1. Основные </w:t>
            </w:r>
            <w:r>
              <w:t xml:space="preserve">затрагиваемые </w:t>
            </w:r>
            <w:r w:rsidRPr="00327FD0">
              <w:t>группы:</w:t>
            </w:r>
          </w:p>
          <w:p w:rsidR="00974407" w:rsidRDefault="00974407" w:rsidP="00974407">
            <w:pPr>
              <w:autoSpaceDE w:val="0"/>
              <w:autoSpaceDN w:val="0"/>
              <w:adjustRightInd w:val="0"/>
              <w:jc w:val="both"/>
            </w:pPr>
            <w:r>
              <w:t>- администрация Камышловского городского округа;</w:t>
            </w:r>
          </w:p>
          <w:p w:rsidR="00740716" w:rsidRDefault="009744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t>- заявители, которым предоставляется муниципальная услуга (физические и юридические лица, обеспечивающие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реконструкции)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327FD0" w:rsidRDefault="00740716" w:rsidP="00B1377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7.2. Оценка количества участников отношений (по каждой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затрагиваемой </w:t>
            </w:r>
            <w:r w:rsidRPr="00327FD0">
              <w:rPr>
                <w:rFonts w:ascii="Times New Roman" w:hAnsi="Times New Roman"/>
                <w:sz w:val="24"/>
                <w:szCs w:val="24"/>
              </w:rPr>
              <w:t>группе):</w:t>
            </w:r>
          </w:p>
          <w:p w:rsidR="00974407" w:rsidRDefault="00740716" w:rsidP="00974407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407">
              <w:rPr>
                <w:rFonts w:ascii="Times New Roman" w:hAnsi="Times New Roman"/>
                <w:sz w:val="24"/>
                <w:szCs w:val="24"/>
              </w:rPr>
              <w:t>1;</w:t>
            </w:r>
          </w:p>
          <w:p w:rsidR="00740716" w:rsidRPr="00B30692" w:rsidRDefault="00974407" w:rsidP="00974407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точное количество на сегодняшний день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оценить не представляется возможным,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407">
              <w:rPr>
                <w:rFonts w:ascii="Times New Roman" w:hAnsi="Times New Roman"/>
                <w:sz w:val="24"/>
                <w:szCs w:val="24"/>
              </w:rPr>
              <w:t>ориентировочно около 100 ежегодно.</w:t>
            </w:r>
          </w:p>
        </w:tc>
      </w:tr>
      <w:tr w:rsidR="00740716" w:rsidRPr="00A92DF6" w:rsidTr="00B13777">
        <w:trPr>
          <w:trHeight w:val="1161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Pr="008D79AF" w:rsidRDefault="00740716" w:rsidP="00B1377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9. Новые обязанности,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74407">
              <w:rPr>
                <w:sz w:val="28"/>
                <w:szCs w:val="28"/>
              </w:rPr>
              <w:t xml:space="preserve"> отсутствуют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529"/>
        </w:trPr>
        <w:tc>
          <w:tcPr>
            <w:tcW w:w="9901" w:type="dxa"/>
          </w:tcPr>
          <w:p w:rsidR="00740716" w:rsidRPr="00DF2073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207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Pr="00DF2073">
              <w:rPr>
                <w:sz w:val="28"/>
                <w:szCs w:val="28"/>
              </w:rPr>
              <w:t>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740716" w:rsidRDefault="00740716" w:rsidP="00974407">
            <w:pPr>
              <w:autoSpaceDE w:val="0"/>
              <w:autoSpaceDN w:val="0"/>
              <w:adjustRightInd w:val="0"/>
              <w:jc w:val="both"/>
            </w:pPr>
            <w:r w:rsidRPr="00DF2073">
              <w:t>10.1.Федеральный бюджет</w:t>
            </w:r>
            <w:r>
              <w:t>:</w:t>
            </w:r>
            <w:r w:rsidRPr="00DF2073">
              <w:t xml:space="preserve"> </w:t>
            </w:r>
            <w:r w:rsidR="005A1907">
              <w:t>не требуется</w:t>
            </w:r>
          </w:p>
          <w:p w:rsidR="005A1907" w:rsidRDefault="005A1907" w:rsidP="0097440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554"/>
        </w:trPr>
        <w:tc>
          <w:tcPr>
            <w:tcW w:w="9901" w:type="dxa"/>
          </w:tcPr>
          <w:p w:rsidR="00740716" w:rsidRPr="00DF2073" w:rsidRDefault="00740716" w:rsidP="00B13777">
            <w:pPr>
              <w:tabs>
                <w:tab w:val="left" w:pos="2208"/>
              </w:tabs>
            </w:pPr>
            <w:r>
              <w:t>10.2.Р</w:t>
            </w:r>
            <w:r w:rsidRPr="00440902">
              <w:t>егиональный бюджет</w:t>
            </w:r>
            <w:r>
              <w:t>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B13777">
        <w:trPr>
          <w:trHeight w:val="548"/>
        </w:trPr>
        <w:tc>
          <w:tcPr>
            <w:tcW w:w="9901" w:type="dxa"/>
          </w:tcPr>
          <w:p w:rsidR="00740716" w:rsidRPr="000D0434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10.3.Муниципальный бюджет: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5A1907">
            <w:pPr>
              <w:autoSpaceDE w:val="0"/>
              <w:autoSpaceDN w:val="0"/>
              <w:adjustRightInd w:val="0"/>
              <w:jc w:val="both"/>
            </w:pPr>
            <w:r>
              <w:t>10.4.Внебюджетные фонды:</w:t>
            </w:r>
            <w:r w:rsidR="005A1907">
              <w:t xml:space="preserve"> </w:t>
            </w:r>
            <w:r w:rsidR="005A1907" w:rsidRPr="005A1907">
              <w:t>не требуется</w:t>
            </w: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36A59">
              <w:rPr>
                <w:sz w:val="28"/>
                <w:szCs w:val="28"/>
              </w:rPr>
              <w:t>11. Оценка расходов субъектов пре</w:t>
            </w:r>
            <w:r>
              <w:rPr>
                <w:sz w:val="28"/>
                <w:szCs w:val="28"/>
              </w:rPr>
              <w:t>д</w:t>
            </w:r>
            <w:r w:rsidRPr="00B36A59">
              <w:rPr>
                <w:sz w:val="28"/>
                <w:szCs w:val="28"/>
              </w:rPr>
              <w:t>принимательской и инвестиционной деятельности</w:t>
            </w:r>
            <w:r>
              <w:rPr>
                <w:sz w:val="28"/>
                <w:szCs w:val="28"/>
              </w:rPr>
              <w:t xml:space="preserve"> в случае, когда реализация проекта</w:t>
            </w:r>
            <w:r w:rsidRPr="00C164F8">
              <w:rPr>
                <w:sz w:val="28"/>
                <w:szCs w:val="28"/>
              </w:rPr>
              <w:t xml:space="preserve"> нормативн</w:t>
            </w:r>
            <w:r>
              <w:rPr>
                <w:sz w:val="28"/>
                <w:szCs w:val="28"/>
              </w:rPr>
              <w:t xml:space="preserve">ого </w:t>
            </w:r>
            <w:r w:rsidRPr="00C164F8">
              <w:rPr>
                <w:sz w:val="28"/>
                <w:szCs w:val="28"/>
              </w:rPr>
              <w:t>правов</w:t>
            </w:r>
            <w:r>
              <w:rPr>
                <w:sz w:val="28"/>
                <w:szCs w:val="28"/>
              </w:rPr>
              <w:t>ого</w:t>
            </w:r>
            <w:r w:rsidRPr="00C164F8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будет способствовать возникновению расходов:</w:t>
            </w:r>
            <w:r w:rsidR="005A1907">
              <w:rPr>
                <w:sz w:val="28"/>
                <w:szCs w:val="28"/>
              </w:rPr>
              <w:t xml:space="preserve"> нет</w:t>
            </w: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235D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1B4F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r w:rsidRPr="00026583">
              <w:rPr>
                <w:rFonts w:ascii="Times New Roman" w:hAnsi="Times New Roman"/>
                <w:sz w:val="28"/>
                <w:szCs w:val="28"/>
              </w:rPr>
              <w:t>О</w:t>
            </w:r>
            <w:r w:rsidRPr="00066F77">
              <w:rPr>
                <w:rFonts w:ascii="Times New Roman" w:hAnsi="Times New Roman" w:cs="Times New Roman"/>
                <w:sz w:val="28"/>
                <w:szCs w:val="28"/>
              </w:rPr>
              <w:t>жидаемые результаты и риски решения проблемы предложенным способом регулирования, риски негативных последствий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88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414"/>
        </w:trPr>
        <w:tc>
          <w:tcPr>
            <w:tcW w:w="9901" w:type="dxa"/>
          </w:tcPr>
          <w:p w:rsidR="00740716" w:rsidRDefault="00740716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D1B4F">
              <w:rPr>
                <w:rFonts w:ascii="Times New Roman" w:hAnsi="Times New Roman"/>
                <w:sz w:val="28"/>
                <w:szCs w:val="28"/>
              </w:rPr>
              <w:t>.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B15C1">
              <w:rPr>
                <w:rFonts w:ascii="Times New Roman" w:hAnsi="Times New Roman"/>
                <w:sz w:val="28"/>
                <w:szCs w:val="28"/>
              </w:rPr>
              <w:t>писание методов контроля эффективности выбранного способа достижения цели регулирования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5A190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2"/>
              <w:gridCol w:w="2126"/>
              <w:gridCol w:w="1843"/>
              <w:gridCol w:w="1843"/>
              <w:gridCol w:w="1559"/>
            </w:tblGrid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 xml:space="preserve">.1. Наименование целей регулирования 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.2. Показатели (индикаторы) достижения целей регулирования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.3. Ед. измерения показателя (индикатора)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.4. Способ расчета показателя (индикатора)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jc w:val="center"/>
                    <w:rPr>
                      <w:sz w:val="28"/>
                      <w:szCs w:val="28"/>
                    </w:rPr>
                  </w:pPr>
                  <w:r w:rsidRPr="00E1520C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1520C">
                    <w:rPr>
                      <w:sz w:val="28"/>
                      <w:szCs w:val="28"/>
                    </w:rPr>
                    <w:t>.5. Источники информации для расчета</w:t>
                  </w:r>
                </w:p>
              </w:tc>
            </w:tr>
            <w:tr w:rsidR="00337628" w:rsidRPr="00E1520C" w:rsidTr="00337628">
              <w:tc>
                <w:tcPr>
                  <w:tcW w:w="2292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ind w:right="-36"/>
                    <w:outlineLvl w:val="1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Регламентация порядка выдачи разрешения на строительство</w:t>
                  </w:r>
                </w:p>
              </w:tc>
              <w:tc>
                <w:tcPr>
                  <w:tcW w:w="2126" w:type="dxa"/>
                </w:tcPr>
                <w:p w:rsidR="00337628" w:rsidRPr="00E1520C" w:rsidRDefault="00337628" w:rsidP="00337628">
                  <w:pPr>
                    <w:jc w:val="both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1843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1559" w:type="dxa"/>
                </w:tcPr>
                <w:p w:rsidR="00337628" w:rsidRPr="00E1520C" w:rsidRDefault="00337628" w:rsidP="00337628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i/>
                      <w:sz w:val="28"/>
                      <w:szCs w:val="28"/>
                    </w:rPr>
                  </w:pPr>
                  <w:r w:rsidRPr="00E1520C">
                    <w:rPr>
                      <w:i/>
                      <w:sz w:val="28"/>
                      <w:szCs w:val="28"/>
                    </w:rPr>
                    <w:t>_________</w:t>
                  </w:r>
                </w:p>
              </w:tc>
            </w:tr>
          </w:tbl>
          <w:p w:rsidR="00337628" w:rsidRDefault="00337628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7628" w:rsidRDefault="00337628" w:rsidP="00B13777">
            <w:pPr>
              <w:pStyle w:val="ConsPlusNormal"/>
              <w:ind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0716" w:rsidRPr="00B36A59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40716" w:rsidRPr="00A92DF6" w:rsidTr="00B13777">
        <w:trPr>
          <w:trHeight w:val="3543"/>
        </w:trPr>
        <w:tc>
          <w:tcPr>
            <w:tcW w:w="9901" w:type="dxa"/>
          </w:tcPr>
          <w:p w:rsidR="00740716" w:rsidRDefault="00740716" w:rsidP="00235D40">
            <w:pPr>
              <w:autoSpaceDE w:val="0"/>
              <w:autoSpaceDN w:val="0"/>
              <w:adjustRightInd w:val="0"/>
              <w:jc w:val="both"/>
              <w:rPr>
                <w:rFonts w:cs="Courier New"/>
                <w:b/>
                <w:sz w:val="28"/>
                <w:szCs w:val="28"/>
              </w:rPr>
            </w:pPr>
            <w:r w:rsidRPr="00AD1B4F">
              <w:rPr>
                <w:rFonts w:cs="Courier New"/>
                <w:sz w:val="28"/>
                <w:szCs w:val="28"/>
              </w:rPr>
              <w:lastRenderedPageBreak/>
              <w:t>1</w:t>
            </w:r>
            <w:r>
              <w:rPr>
                <w:rFonts w:cs="Courier New"/>
                <w:sz w:val="28"/>
                <w:szCs w:val="28"/>
              </w:rPr>
              <w:t>4</w:t>
            </w:r>
            <w:r w:rsidRPr="00AD1B4F">
              <w:rPr>
                <w:rFonts w:cs="Courier New"/>
                <w:sz w:val="28"/>
                <w:szCs w:val="28"/>
              </w:rPr>
      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>
              <w:rPr>
                <w:rFonts w:cs="Courier New"/>
                <w:b/>
                <w:sz w:val="28"/>
                <w:szCs w:val="28"/>
              </w:rPr>
              <w:t>:</w:t>
            </w:r>
          </w:p>
          <w:p w:rsidR="00235D40" w:rsidRDefault="00235D40" w:rsidP="00B13777">
            <w:pPr>
              <w:autoSpaceDE w:val="0"/>
              <w:autoSpaceDN w:val="0"/>
              <w:adjustRightInd w:val="0"/>
              <w:rPr>
                <w:rFonts w:cs="Courier New"/>
                <w:b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253"/>
              <w:tblOverlap w:val="never"/>
              <w:tblW w:w="94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256"/>
              <w:gridCol w:w="1304"/>
              <w:gridCol w:w="1701"/>
              <w:gridCol w:w="1559"/>
              <w:gridCol w:w="1600"/>
            </w:tblGrid>
            <w:tr w:rsidR="00235D40" w:rsidRPr="000C7878" w:rsidTr="00235D40"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Мероприятия необходимые для достижения целей регулирования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Сроки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Ожидаемый результат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Объем финансирования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autoSpaceDE w:val="0"/>
                    <w:autoSpaceDN w:val="0"/>
                    <w:adjustRightInd w:val="0"/>
                    <w:rPr>
                      <w:rFonts w:cs="Courier New"/>
                      <w:sz w:val="28"/>
                    </w:rPr>
                  </w:pPr>
                  <w:r w:rsidRPr="00235D40">
                    <w:rPr>
                      <w:rFonts w:cs="Courier New"/>
                      <w:sz w:val="28"/>
                    </w:rPr>
                    <w:t>Источник финансирования</w:t>
                  </w:r>
                </w:p>
              </w:tc>
            </w:tr>
            <w:tr w:rsidR="00235D40" w:rsidRPr="000C7878" w:rsidTr="00235D40">
              <w:trPr>
                <w:trHeight w:val="487"/>
              </w:trPr>
              <w:tc>
                <w:tcPr>
                  <w:tcW w:w="3256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 xml:space="preserve">Опубликование проекта акта на официальном сайте Камышловского городского округа в информационно-телекоммуникационной сети Интернет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proofErr w:type="gramStart"/>
                  <w:r w:rsidRPr="00235D40">
                    <w:rPr>
                      <w:i/>
                    </w:rPr>
                    <w:t>с</w:t>
                  </w:r>
                  <w:proofErr w:type="gramEnd"/>
                  <w:r w:rsidRPr="00235D40">
                    <w:rPr>
                      <w:i/>
                    </w:rPr>
                    <w:t xml:space="preserve"> момента принятия проекта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proofErr w:type="gramStart"/>
                  <w:r w:rsidRPr="00235D40">
                    <w:rPr>
                      <w:i/>
                    </w:rPr>
                    <w:t>информированность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Не требуется</w:t>
                  </w:r>
                </w:p>
              </w:tc>
              <w:tc>
                <w:tcPr>
                  <w:tcW w:w="1600" w:type="dxa"/>
                  <w:shd w:val="clear" w:color="auto" w:fill="auto"/>
                </w:tcPr>
                <w:p w:rsidR="00235D40" w:rsidRPr="00235D40" w:rsidRDefault="00235D40" w:rsidP="00235D40">
                  <w:pPr>
                    <w:rPr>
                      <w:i/>
                    </w:rPr>
                  </w:pPr>
                  <w:r w:rsidRPr="00235D40">
                    <w:rPr>
                      <w:i/>
                    </w:rPr>
                    <w:t>-</w:t>
                  </w:r>
                </w:p>
              </w:tc>
            </w:tr>
          </w:tbl>
          <w:p w:rsidR="00740716" w:rsidRDefault="00740716" w:rsidP="00235D40">
            <w:pPr>
              <w:autoSpaceDE w:val="0"/>
              <w:autoSpaceDN w:val="0"/>
              <w:adjustRightInd w:val="0"/>
            </w:pPr>
            <w:r>
              <w:rPr>
                <w:rFonts w:cs="Courier New"/>
                <w:b/>
                <w:sz w:val="28"/>
                <w:szCs w:val="28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AD1B4F" w:rsidRDefault="00740716" w:rsidP="00235D4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1B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D1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D1B4F">
              <w:rPr>
                <w:sz w:val="28"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>
              <w:rPr>
                <w:sz w:val="28"/>
                <w:szCs w:val="28"/>
              </w:rPr>
              <w:t>:</w:t>
            </w:r>
          </w:p>
          <w:p w:rsidR="00740716" w:rsidRDefault="00740716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.1. Н</w:t>
            </w:r>
            <w:r>
              <w:rPr>
                <w:rFonts w:ascii="Times New Roman" w:hAnsi="Times New Roman"/>
                <w:sz w:val="24"/>
                <w:szCs w:val="24"/>
              </w:rPr>
              <w:t>еобходимость установления переходного периода и (или) отсрочка введения предполагаемого</w:t>
            </w:r>
            <w:r w:rsidRPr="00932F1B">
              <w:rPr>
                <w:rFonts w:ascii="Times New Roman" w:hAnsi="Times New Roman"/>
              </w:rPr>
              <w:t xml:space="preserve"> </w:t>
            </w:r>
            <w:r w:rsidRPr="00072B4A"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НПА)</w:t>
            </w:r>
          </w:p>
          <w:p w:rsidR="00740716" w:rsidRDefault="00235D40" w:rsidP="00235D4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 w:rsidR="00740716" w:rsidRPr="00676EB3" w:rsidRDefault="00740716" w:rsidP="00235D4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</w:t>
            </w:r>
            <w:r w:rsidRPr="00676EB3">
              <w:rPr>
                <w:rFonts w:ascii="Times New Roman" w:hAnsi="Times New Roman"/>
                <w:sz w:val="24"/>
                <w:szCs w:val="24"/>
              </w:rPr>
              <w:t>ранее возникшие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  <w:r>
              <w:rPr>
                <w:rFonts w:ascii="Times New Roman" w:hAnsi="Times New Roman"/>
              </w:rPr>
              <w:t>: НЕТ/ ДА (с указанием в днях срока с момента принятия проекта акта)</w:t>
            </w:r>
          </w:p>
          <w:p w:rsidR="00740716" w:rsidRPr="00932F1B" w:rsidRDefault="00740716" w:rsidP="00B13777">
            <w:pPr>
              <w:pStyle w:val="ConsPlusNonformat"/>
              <w:rPr>
                <w:rFonts w:ascii="Times New Roman" w:hAnsi="Times New Roman"/>
              </w:rPr>
            </w:pPr>
          </w:p>
          <w:p w:rsidR="00740716" w:rsidRPr="00932F1B" w:rsidRDefault="00740716" w:rsidP="0023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2F1B">
              <w:rPr>
                <w:rFonts w:ascii="Courier New" w:hAnsi="Courier New" w:cs="Courier New"/>
              </w:rPr>
              <w:t xml:space="preserve"> </w:t>
            </w:r>
          </w:p>
        </w:tc>
      </w:tr>
      <w:tr w:rsidR="00740716" w:rsidRPr="00A92DF6" w:rsidTr="00B13777">
        <w:trPr>
          <w:trHeight w:val="666"/>
        </w:trPr>
        <w:tc>
          <w:tcPr>
            <w:tcW w:w="9901" w:type="dxa"/>
          </w:tcPr>
          <w:p w:rsidR="00740716" w:rsidRPr="00476FC8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76FC8">
              <w:rPr>
                <w:sz w:val="28"/>
                <w:szCs w:val="28"/>
              </w:rPr>
              <w:t>16. Сведения о проведении публичных консультаций</w:t>
            </w:r>
            <w:r>
              <w:rPr>
                <w:sz w:val="28"/>
                <w:szCs w:val="28"/>
              </w:rPr>
              <w:t>:</w:t>
            </w:r>
          </w:p>
          <w:p w:rsidR="00100A4E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>16.1.</w:t>
            </w:r>
            <w:r>
              <w:t xml:space="preserve"> </w:t>
            </w:r>
            <w:r w:rsidRPr="00327FD0">
              <w:t>Полный электронный адрес размещения уведомления о проведении публичных консультаций, проекта</w:t>
            </w:r>
            <w:r>
              <w:t xml:space="preserve"> </w:t>
            </w:r>
            <w:r w:rsidRPr="00F933AE">
              <w:t>нормативного правового акта</w:t>
            </w:r>
            <w:r>
              <w:t>,</w:t>
            </w:r>
            <w:r w:rsidRPr="00327FD0">
              <w:t xml:space="preserve"> пояснительной записки к</w:t>
            </w:r>
            <w:r>
              <w:t xml:space="preserve"> нему</w:t>
            </w:r>
            <w:r w:rsidRPr="00327FD0">
              <w:t>:</w:t>
            </w:r>
            <w:r w:rsidR="00100A4E">
              <w:t xml:space="preserve"> </w:t>
            </w:r>
            <w:r w:rsidR="00100A4E" w:rsidRPr="00F843D9">
              <w:rPr>
                <w:i/>
                <w:color w:val="000000" w:themeColor="text1"/>
                <w:sz w:val="28"/>
                <w:szCs w:val="28"/>
                <w:u w:val="single"/>
              </w:rPr>
              <w:t>ar.gov66.ru</w:t>
            </w:r>
            <w:r w:rsidR="0068146C" w:rsidRPr="00F843D9">
              <w:rPr>
                <w:i/>
                <w:color w:val="000000" w:themeColor="text1"/>
                <w:sz w:val="28"/>
                <w:szCs w:val="28"/>
              </w:rPr>
              <w:t xml:space="preserve">, </w:t>
            </w:r>
            <w:hyperlink r:id="rId4" w:history="1">
              <w:r w:rsidR="0068146C" w:rsidRPr="00F843D9">
                <w:rPr>
                  <w:rStyle w:val="a5"/>
                  <w:color w:val="000000" w:themeColor="text1"/>
                  <w:sz w:val="28"/>
                  <w:szCs w:val="28"/>
                </w:rPr>
                <w:t>gorod-kamyshlov.ru</w:t>
              </w:r>
            </w:hyperlink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16.2. Срок проведения публичных консультаций:</w:t>
            </w:r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ind w:left="459" w:hanging="567"/>
            </w:pPr>
            <w:r w:rsidRPr="00327FD0">
              <w:t xml:space="preserve">           </w:t>
            </w:r>
            <w:proofErr w:type="gramStart"/>
            <w:r w:rsidRPr="00327FD0">
              <w:t>начало</w:t>
            </w:r>
            <w:proofErr w:type="gramEnd"/>
            <w:r w:rsidRPr="00327FD0">
              <w:t>: "</w:t>
            </w:r>
            <w:r w:rsidR="00100A4E">
              <w:t>1</w:t>
            </w:r>
            <w:r w:rsidR="0068146C">
              <w:t>4</w:t>
            </w:r>
            <w:r w:rsidRPr="00327FD0">
              <w:t>"</w:t>
            </w:r>
            <w:r w:rsidR="00100A4E">
              <w:t>октября</w:t>
            </w:r>
            <w:r w:rsidRPr="00327FD0">
              <w:t xml:space="preserve"> 201</w:t>
            </w:r>
            <w:r w:rsidR="00100A4E">
              <w:t>6</w:t>
            </w:r>
            <w:r w:rsidRPr="00327FD0">
              <w:t xml:space="preserve"> г.;                              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</w:pPr>
            <w:r w:rsidRPr="00327FD0">
              <w:t xml:space="preserve">      </w:t>
            </w:r>
            <w:r>
              <w:t xml:space="preserve">   </w:t>
            </w:r>
            <w:proofErr w:type="gramStart"/>
            <w:r w:rsidRPr="00327FD0">
              <w:t>окончание</w:t>
            </w:r>
            <w:proofErr w:type="gramEnd"/>
            <w:r w:rsidRPr="00327FD0">
              <w:t>: "</w:t>
            </w:r>
            <w:r w:rsidR="00100A4E">
              <w:t>2</w:t>
            </w:r>
            <w:r w:rsidR="0068146C">
              <w:t>7</w:t>
            </w:r>
            <w:r w:rsidRPr="00327FD0">
              <w:t>"</w:t>
            </w:r>
            <w:r w:rsidR="00100A4E">
              <w:t>октября</w:t>
            </w:r>
            <w:r w:rsidRPr="00327FD0">
              <w:t xml:space="preserve"> 201</w:t>
            </w:r>
            <w:r w:rsidR="00100A4E">
              <w:t>6</w:t>
            </w:r>
            <w:r w:rsidRPr="00327FD0">
              <w:t xml:space="preserve"> г.      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 xml:space="preserve"> 16.3.</w:t>
            </w:r>
            <w:r w:rsidRPr="00327FD0">
              <w:t xml:space="preserve"> </w:t>
            </w:r>
            <w:r>
              <w:t xml:space="preserve">Иные сведения о проведении публичных </w:t>
            </w:r>
            <w:proofErr w:type="gramStart"/>
            <w:r>
              <w:t>консультаций</w:t>
            </w:r>
            <w:r w:rsidRPr="00440902">
              <w:t>:</w:t>
            </w:r>
            <w:r>
              <w:t>_</w:t>
            </w:r>
            <w:proofErr w:type="gramEnd"/>
            <w:r>
              <w:t>_______________________</w:t>
            </w:r>
          </w:p>
          <w:p w:rsidR="00740716" w:rsidRPr="00327FD0" w:rsidRDefault="00740716" w:rsidP="00B13777">
            <w:pPr>
              <w:autoSpaceDE w:val="0"/>
              <w:autoSpaceDN w:val="0"/>
              <w:adjustRightInd w:val="0"/>
              <w:jc w:val="both"/>
            </w:pPr>
            <w:r>
              <w:t>______________________________________________________________________________</w:t>
            </w:r>
          </w:p>
          <w:p w:rsidR="00740716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0716" w:rsidRPr="006A135D" w:rsidRDefault="00740716" w:rsidP="00B137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40716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проекта нормативного правового акта:                                  </w:t>
      </w:r>
      <w:r w:rsidRPr="004F274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</w:p>
    <w:p w:rsidR="00740716" w:rsidRPr="004F2742" w:rsidRDefault="00740716" w:rsidP="0074071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Pr="004F2742">
        <w:rPr>
          <w:sz w:val="28"/>
          <w:szCs w:val="28"/>
        </w:rPr>
        <w:t xml:space="preserve">    </w:t>
      </w:r>
      <w:r>
        <w:rPr>
          <w:sz w:val="28"/>
          <w:szCs w:val="28"/>
        </w:rPr>
        <w:t>____</w:t>
      </w:r>
      <w:r w:rsidRPr="004F2742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</w:t>
      </w:r>
      <w:r w:rsidRPr="004F2742">
        <w:rPr>
          <w:sz w:val="28"/>
          <w:szCs w:val="28"/>
        </w:rPr>
        <w:t>_______________</w:t>
      </w:r>
    </w:p>
    <w:p w:rsidR="00740716" w:rsidRPr="00D539A9" w:rsidRDefault="00740716" w:rsidP="00740716">
      <w:pPr>
        <w:autoSpaceDE w:val="0"/>
        <w:autoSpaceDN w:val="0"/>
        <w:adjustRightInd w:val="0"/>
      </w:pPr>
      <w:r w:rsidRPr="00D539A9">
        <w:t xml:space="preserve"> (</w:t>
      </w:r>
      <w:proofErr w:type="gramStart"/>
      <w:r w:rsidRPr="00D539A9">
        <w:t xml:space="preserve">подпись)   </w:t>
      </w:r>
      <w:proofErr w:type="gramEnd"/>
      <w:r w:rsidRPr="00D539A9">
        <w:t xml:space="preserve">             (ФИО)</w:t>
      </w:r>
      <w:r w:rsidRPr="004F274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</w:t>
      </w:r>
      <w:r w:rsidRPr="004F27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Pr="00D539A9">
        <w:t xml:space="preserve">(дата)             </w:t>
      </w:r>
    </w:p>
    <w:p w:rsidR="00FC1B15" w:rsidRDefault="00FC1B15"/>
    <w:sectPr w:rsidR="00FC1B15" w:rsidSect="0002528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32"/>
    <w:rsid w:val="00025286"/>
    <w:rsid w:val="00035D17"/>
    <w:rsid w:val="00100A4E"/>
    <w:rsid w:val="00235D40"/>
    <w:rsid w:val="00337628"/>
    <w:rsid w:val="004B34A0"/>
    <w:rsid w:val="005A1907"/>
    <w:rsid w:val="0068146C"/>
    <w:rsid w:val="00740716"/>
    <w:rsid w:val="00974407"/>
    <w:rsid w:val="009B5888"/>
    <w:rsid w:val="00B10966"/>
    <w:rsid w:val="00C26A32"/>
    <w:rsid w:val="00D32D62"/>
    <w:rsid w:val="00D651FD"/>
    <w:rsid w:val="00DB5A34"/>
    <w:rsid w:val="00DC57E6"/>
    <w:rsid w:val="00E25C38"/>
    <w:rsid w:val="00F843D9"/>
    <w:rsid w:val="00FC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A58A6-7ED2-40EA-A3AB-9855AED0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40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58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888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-kamysh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9</cp:revision>
  <cp:lastPrinted>2016-10-25T05:59:00Z</cp:lastPrinted>
  <dcterms:created xsi:type="dcterms:W3CDTF">2016-10-12T12:41:00Z</dcterms:created>
  <dcterms:modified xsi:type="dcterms:W3CDTF">2016-11-02T06:54:00Z</dcterms:modified>
</cp:coreProperties>
</file>