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8"/>
        <w:gridCol w:w="236"/>
      </w:tblGrid>
      <w:tr w:rsidR="00C15924">
        <w:tblPrEx>
          <w:tblCellMar>
            <w:top w:w="0" w:type="dxa"/>
            <w:bottom w:w="0" w:type="dxa"/>
          </w:tblCellMar>
        </w:tblPrEx>
        <w:tc>
          <w:tcPr>
            <w:tcW w:w="15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24" w:rsidRDefault="00215883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Приложение №3</w:t>
            </w:r>
          </w:p>
          <w:p w:rsidR="00C15924" w:rsidRDefault="00215883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C15924" w:rsidRDefault="00215883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округа от 20.11.2013г №2053</w:t>
            </w:r>
          </w:p>
          <w:p w:rsidR="00C15924" w:rsidRDefault="00215883">
            <w:pPr>
              <w:autoSpaceDE w:val="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5924" w:rsidRDefault="00C15924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15924" w:rsidRDefault="00C15924">
            <w:pPr>
              <w:autoSpaceDE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  <w:p w:rsidR="00C15924" w:rsidRDefault="00215883">
            <w:pPr>
              <w:autoSpaceDE w:val="0"/>
              <w:ind w:right="-1636"/>
              <w:jc w:val="center"/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  <w:t>План мероприятий по выполнению муниципа</w:t>
            </w:r>
            <w:r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  <w:t>льной программы</w:t>
            </w:r>
          </w:p>
          <w:p w:rsidR="00C15924" w:rsidRDefault="00215883">
            <w:pPr>
              <w:widowControl w:val="0"/>
              <w:autoSpaceDE w:val="0"/>
              <w:ind w:firstLine="540"/>
              <w:jc w:val="center"/>
            </w:pPr>
            <w:r>
              <w:rPr>
                <w:rFonts w:ascii="Liberation Serif" w:hAnsi="Liberation Serif" w:cs="Calibri"/>
                <w:sz w:val="24"/>
                <w:szCs w:val="24"/>
              </w:rPr>
              <w:t>«</w:t>
            </w:r>
            <w:r>
              <w:rPr>
                <w:rFonts w:ascii="Liberation Serif" w:hAnsi="Liberation Serif"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Fonts w:ascii="Liberation Serif" w:hAnsi="Liberation Serif"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24" w:rsidRDefault="00C15924">
            <w:pPr>
              <w:autoSpaceDE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C15924">
        <w:tblPrEx>
          <w:tblCellMar>
            <w:top w:w="0" w:type="dxa"/>
            <w:bottom w:w="0" w:type="dxa"/>
          </w:tblCellMar>
        </w:tblPrEx>
        <w:tc>
          <w:tcPr>
            <w:tcW w:w="15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24" w:rsidRDefault="00215883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C15924" w:rsidRDefault="00215883">
            <w:pPr>
              <w:autoSpaceDE w:val="0"/>
              <w:jc w:val="center"/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2844"/>
              <w:gridCol w:w="1418"/>
              <w:gridCol w:w="1098"/>
              <w:gridCol w:w="992"/>
              <w:gridCol w:w="1134"/>
              <w:gridCol w:w="1276"/>
              <w:gridCol w:w="992"/>
              <w:gridCol w:w="1134"/>
              <w:gridCol w:w="1455"/>
              <w:gridCol w:w="1536"/>
            </w:tblGrid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Наименование мероприятия/ источники расходов на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финансирование</w:t>
                  </w:r>
                </w:p>
              </w:tc>
              <w:tc>
                <w:tcPr>
                  <w:tcW w:w="949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2019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spacing w:after="200" w:line="276" w:lineRule="auto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C15924" w:rsidRDefault="00C1592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C15924" w:rsidRDefault="00215883"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C15924" w:rsidRDefault="00C1592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C15924" w:rsidRDefault="00C1592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  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C15924" w:rsidRDefault="00C1592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6597464,29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701765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  <w:p w:rsidR="00C15924" w:rsidRDefault="00C15924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7518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887431,30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191800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Прочие расходы на управление и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9185051,84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1312283,71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16860771,26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8206734,26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Постановка на учет и оформление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права собственности на автодороги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C15924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C1592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215883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924" w:rsidRDefault="00C15924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</w:tbl>
          <w:p w:rsidR="00C15924" w:rsidRDefault="00C15924">
            <w:pPr>
              <w:autoSpaceDE w:val="0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24" w:rsidRDefault="00C15924">
            <w:pPr>
              <w:autoSpaceDE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C15924" w:rsidRDefault="00C15924">
      <w:pPr>
        <w:autoSpaceDE w:val="0"/>
        <w:jc w:val="both"/>
        <w:rPr>
          <w:rFonts w:ascii="Liberation Serif" w:hAnsi="Liberation Serif" w:cs="Arial"/>
        </w:rPr>
      </w:pPr>
    </w:p>
    <w:p w:rsidR="00C15924" w:rsidRDefault="00C15924"/>
    <w:sectPr w:rsidR="00C15924">
      <w:pgSz w:w="16838" w:h="11906" w:orient="landscape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83" w:rsidRDefault="00215883">
      <w:r>
        <w:separator/>
      </w:r>
    </w:p>
  </w:endnote>
  <w:endnote w:type="continuationSeparator" w:id="0">
    <w:p w:rsidR="00215883" w:rsidRDefault="002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83" w:rsidRDefault="00215883">
      <w:r>
        <w:rPr>
          <w:color w:val="000000"/>
        </w:rPr>
        <w:separator/>
      </w:r>
    </w:p>
  </w:footnote>
  <w:footnote w:type="continuationSeparator" w:id="0">
    <w:p w:rsidR="00215883" w:rsidRDefault="0021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5924"/>
    <w:rsid w:val="00215883"/>
    <w:rsid w:val="00A9073E"/>
    <w:rsid w:val="00C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72DC-E996-4487-AC16-BFAA310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dc:description/>
  <cp:lastModifiedBy>ОЛЯ</cp:lastModifiedBy>
  <cp:revision>2</cp:revision>
  <dcterms:created xsi:type="dcterms:W3CDTF">2021-02-15T10:49:00Z</dcterms:created>
  <dcterms:modified xsi:type="dcterms:W3CDTF">2021-02-15T10:49:00Z</dcterms:modified>
</cp:coreProperties>
</file>