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8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8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left"/>
        <w:rPr/>
      </w:pPr>
      <w:bookmarkStart w:id="0" w:name="_GoBack1"/>
      <w:bookmarkEnd w:id="0"/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22.09.2020  N 623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  <w:t xml:space="preserve">    </w:t>
      </w:r>
    </w:p>
    <w:p>
      <w:pPr>
        <w:pStyle w:val="Normal"/>
        <w:widowControl w:val="false"/>
        <w:jc w:val="center"/>
        <w:rPr>
          <w:rStyle w:val="Style14"/>
          <w:rFonts w:ascii="Liberation Serif" w:hAnsi="Liberation Serif" w:eastAsia="Times New Roman" w:cs="Liberation Serif;Times New Roman"/>
          <w:b w:val="false"/>
          <w:b w:val="false"/>
          <w:bCs w:val="false"/>
          <w:i/>
          <w:i/>
          <w:iCs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bookmarkStart w:id="1" w:name="__DdeLink__15996_3949337307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12 ноября 2013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2008 (с изменениями внесенными постановлениями главы Камышловского городского округа от 05.08.2020 года №512, от 30.06.2020 года № 437,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24.01.2017 № 62, от 11.11.2016 года № 1159, от 27.09.2016 года № 1032, от 12.09.2016 года  № 984,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</w:t>
      </w:r>
      <w:bookmarkEnd w:id="1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 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bCs/>
          <w:sz w:val="28"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 w:val="28"/>
          <w:szCs w:val="28"/>
        </w:rPr>
        <w:t>№</w:t>
      </w:r>
      <w:r>
        <w:rPr>
          <w:rFonts w:ascii="Liberation Serif" w:hAnsi="Liberation Serif"/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 w:val="28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04.10.2013 года </w:t>
      </w:r>
      <w:r>
        <w:rPr>
          <w:rFonts w:eastAsia="Calibri" w:ascii="Liberation Serif" w:hAnsi="Liberation Serif"/>
          <w:color w:val="000000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1786, согласно приказа Финансового управления администрации Камышловсколго городского округа  от 18.09.2020 № 68-О, администрация Камышловского городского округа 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Внести в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2008 (с изменениями внесенными постановлениями главы Камышловского городского округа от 05.08.2020 года №512, от 30.06.2020 года № 437,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24.01.2017 № 62, от 11.11.2016 года № 1159, от 27.09.2016 года № 1032, от 12.09.2016 года  № 984,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 следующие изменения (прилагается):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 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ВСЕГО:  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3 988 275 123,62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 год 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458 775 148,00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2015 год 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497 655 320,00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516 861 700,00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–545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 338 707,00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–634 514 047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–642 472 101,22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–692 658 099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,90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13 962 407,00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 год –405 200,00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–160 890,00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–12 073 517,00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2 016 857 361,50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 год 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207 112 848,00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2015 год 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228 896 700,00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279 592 700,00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–287 032 700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–318 355 717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–340 052 800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355 813 896,00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1 957 455 355,12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 год 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251 257 100,00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267 435 820,00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–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237 269 000,00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–258 306 007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 –316 158 330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–302 258 411,22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324 770 686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,90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/>
          <w:sz w:val="28"/>
          <w:szCs w:val="28"/>
        </w:rPr>
        <w:t>2. В  Приложении №1  «Цели , задачи и целевые показатели муниципальной программы «Развитие образования, культуры, спорта и молодежной политики в Камышловском городском округе до 2020 года»,   Подпрограмму 2 Развитие системы общего образования в Камышловском городском округе  , цель 2 «</w:t>
      </w:r>
      <w:r>
        <w:rPr>
          <w:rFonts w:cs="Arial" w:ascii="Liberation Serif" w:hAnsi="Liberation Serif"/>
          <w:sz w:val="28"/>
          <w:szCs w:val="28"/>
        </w:rPr>
        <w:t>Обеспечение доступности качественного образования, соответствующего требованиям инновационного социально-экономического развития Камышловского городского округа " дополнить 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Arial"/>
          <w:szCs w:val="28"/>
        </w:rPr>
      </w:pPr>
      <w:r>
        <w:rPr>
          <w:rFonts w:cs="Arial" w:ascii="Liberation Serif" w:hAnsi="Liberation Serif"/>
          <w:sz w:val="28"/>
          <w:szCs w:val="28"/>
        </w:rPr>
        <w:t>2.1. задачей 13 "Обеспечение выплаты ежемесячного денежного вознаграждения за классное руководство педагогическим работникам общеобразовательных организаций" и целевым показателем 17.1:</w:t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551"/>
        <w:gridCol w:w="849"/>
        <w:gridCol w:w="710"/>
        <w:gridCol w:w="709"/>
        <w:gridCol w:w="709"/>
        <w:gridCol w:w="708"/>
        <w:gridCol w:w="709"/>
        <w:gridCol w:w="712"/>
        <w:gridCol w:w="775"/>
        <w:gridCol w:w="1206"/>
      </w:tblGrid>
      <w:tr>
        <w:trPr>
          <w:trHeight w:val="285" w:hRule="atLeas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целей, задач, целевых показателей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Годы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Источник значения показателей</w:t>
            </w:r>
          </w:p>
        </w:tc>
      </w:tr>
      <w:tr>
        <w:trPr>
          <w:trHeight w:val="285" w:hRule="atLeast"/>
        </w:trPr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5" w:type="dxa"/>
              <w:bottom w:w="7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5" w:type="dxa"/>
              <w:bottom w:w="7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Второй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Третий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Четвертый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Пятый 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Шестой 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Седьмой год</w:t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5" w:type="dxa"/>
              <w:bottom w:w="7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166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процентов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3">
              <w:r>
                <w:rPr>
                  <w:rStyle w:val="Style"/>
                  <w:rFonts w:cs="Arial" w:ascii="Liberation Serif" w:hAnsi="Liberation Serif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>
              <w:rPr>
                <w:rFonts w:cs="Arial"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 w:ascii="Liberation Serif" w:hAnsi="Liberation Serif"/>
                <w:sz w:val="28"/>
                <w:szCs w:val="28"/>
              </w:rPr>
              <w:t>Правительства свердловской области  от 09.09.2020 N 620-ПП</w:t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>2.2. задачей 14 «Организация бесплатного горячего питания обучающихся, получающих начальное общее образования в муниципальных образовательных организациях»  и целевым показателем 17.2.:</w:t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551"/>
        <w:gridCol w:w="849"/>
        <w:gridCol w:w="710"/>
        <w:gridCol w:w="709"/>
        <w:gridCol w:w="709"/>
        <w:gridCol w:w="708"/>
        <w:gridCol w:w="709"/>
        <w:gridCol w:w="712"/>
        <w:gridCol w:w="775"/>
        <w:gridCol w:w="1206"/>
      </w:tblGrid>
      <w:tr>
        <w:trPr>
          <w:trHeight w:val="285" w:hRule="atLeas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целей, задач, целевых показателей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Годы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Источник значения показателей</w:t>
            </w:r>
          </w:p>
        </w:tc>
      </w:tr>
      <w:tr>
        <w:trPr>
          <w:trHeight w:val="285" w:hRule="atLeast"/>
        </w:trPr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5" w:type="dxa"/>
              <w:bottom w:w="7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5" w:type="dxa"/>
              <w:bottom w:w="7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Второй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Третий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Четвертый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Пятый 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Шестой 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Седьмой год</w:t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75" w:type="dxa"/>
              <w:left w:w="5" w:type="dxa"/>
              <w:bottom w:w="7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166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Доля обучающихся получающих начальное общее образования в муниципальных образовательных организациях, получающих бесплатное горячее питания, к общему числу обучающихся , получающих начальное общее образования в муниципальных образовательных организациях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процентов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4">
              <w:r>
                <w:rPr>
                  <w:rStyle w:val="Style"/>
                  <w:rFonts w:cs="Arial" w:ascii="Liberation Serif" w:hAnsi="Liberation Serif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>
              <w:rPr>
                <w:rFonts w:cs="Arial"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 w:ascii="Liberation Serif" w:hAnsi="Liberation Serif"/>
                <w:sz w:val="28"/>
                <w:szCs w:val="28"/>
              </w:rPr>
              <w:t>Правительства свердловской области  от 09.09.2020 N 621-ПП</w:t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3. Приложение № 2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2020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Настоящее постановление 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bookmarkStart w:id="2" w:name="_GoBack"/>
      <w:bookmarkEnd w:id="2"/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E2026C4E4AFA63AC6AD1ACFED1BD9D699D3371F3020DCCD67F75EAE9A5F99F0B861F8D11CC2AF95D15899C593fC6BL" TargetMode="External"/><Relationship Id="rId4" Type="http://schemas.openxmlformats.org/officeDocument/2006/relationships/hyperlink" Target="consultantplus://offline/ref=2E2026C4E4AFA63AC6AD1ACFED1BD9D699D3371F3020DCCD67F75EAE9A5F99F0B861F8D11CC2AF95D15899C593fC6BL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C6C8-7BF4-4D98-86BE-788209A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LibreOffice/6.3.4.2$Windows_X86_64 LibreOffice_project/60da17e045e08f1793c57c00ba83cdfce946d0aa</Application>
  <Pages>2</Pages>
  <Words>1123</Words>
  <Characters>6167</Characters>
  <CharactersWithSpaces>7299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2020-09-22T16:03:40Z</cp:lastPrinted>
  <dcterms:modified xsi:type="dcterms:W3CDTF">2020-09-22T16:04:06Z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