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3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true"/>
        <w:overflowPunct w:val="false"/>
        <w:spacing w:lineRule="auto" w:line="240" w:before="0" w:after="0"/>
        <w:ind w:left="0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14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4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30</w:t>
      </w:r>
      <w:r>
        <w:rPr>
          <w:rStyle w:val="Style14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/>
        </w:rPr>
        <w:t>.04.2020</w:t>
      </w:r>
      <w:r>
        <w:rPr>
          <w:rStyle w:val="Style14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N 2</w:t>
      </w:r>
      <w:r>
        <w:rPr>
          <w:rStyle w:val="Style14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</w:t>
      </w:r>
      <w:r>
        <w:rPr>
          <w:rStyle w:val="Style14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1</w:t>
      </w:r>
    </w:p>
    <w:p>
      <w:pPr>
        <w:pStyle w:val="Style23"/>
        <w:suppressAutoHyphens w:val="true"/>
        <w:overflowPunct w:val="false"/>
        <w:spacing w:lineRule="auto" w:line="240" w:before="0" w:after="0"/>
        <w:ind w:left="0" w:right="0" w:hanging="0"/>
        <w:jc w:val="left"/>
        <w:rPr>
          <w:rStyle w:val="Style14"/>
          <w:rFonts w:ascii="Liberation Serif" w:hAnsi="Liberation Serif" w:cs="Liberation Serif;Times New Roma"/>
          <w:i w:val="false"/>
          <w:i w:val="false"/>
          <w:iCs w:val="false"/>
          <w:color w:val="000000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709"/>
        <w:jc w:val="center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вводе в эксплуатацию муниципальной системы оповещения населения Камышловского городского округа на базе комплекса программно-технических средств оповещения «Грифон»  </w:t>
      </w:r>
      <w:r>
        <w:rPr>
          <w:rStyle w:val="Style14"/>
          <w:rFonts w:ascii="Liberation Serif" w:hAnsi="Liberation Serif"/>
          <w:i w:val="false"/>
          <w:iCs w:val="false"/>
          <w:color w:val="FF0000"/>
          <w:sz w:val="28"/>
          <w:szCs w:val="28"/>
        </w:rPr>
        <w:br/>
      </w:r>
    </w:p>
    <w:p>
      <w:pPr>
        <w:pStyle w:val="Style23"/>
        <w:spacing w:lineRule="auto" w:line="240" w:before="0" w:after="0"/>
        <w:ind w:left="0" w:right="0" w:firstLine="709"/>
        <w:jc w:val="center"/>
        <w:rPr>
          <w:rStyle w:val="Style14"/>
          <w:rFonts w:ascii="Liberation Serif" w:hAnsi="Liberation Serif"/>
          <w:i w:val="false"/>
          <w:i w:val="false"/>
          <w:iCs w:val="false"/>
          <w:color w:val="FF0000"/>
          <w:sz w:val="28"/>
          <w:szCs w:val="28"/>
        </w:rPr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60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со статьей 11 </w:t>
      </w:r>
      <w:r>
        <w:rPr>
          <w:rStyle w:val="Style15"/>
          <w:rFonts w:ascii="Liberation Serif" w:hAnsi="Liberation Serif"/>
          <w:color w:val="000000"/>
          <w:sz w:val="28"/>
          <w:szCs w:val="28"/>
          <w:u w:val="none"/>
        </w:rPr>
        <w:t>Федерального закона от 21.12.1994 N 68-ФЗ «О защите населения и территорий от чрезвычайных ситуаций природного и техногенного характера»</w:t>
      </w: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>, статьей 8 </w:t>
      </w:r>
      <w:r>
        <w:rPr>
          <w:rStyle w:val="Style15"/>
          <w:rFonts w:ascii="Liberation Serif" w:hAnsi="Liberation Serif"/>
          <w:color w:val="000000"/>
          <w:sz w:val="28"/>
          <w:szCs w:val="28"/>
          <w:u w:val="none"/>
        </w:rPr>
        <w:t>Федерального закона от 12.02.1998 N 28-ФЗ «О гражданской обороне»</w:t>
      </w: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>, пунктом 29 части 1 статьи 16 </w:t>
      </w:r>
      <w:r>
        <w:rPr>
          <w:rStyle w:val="Style15"/>
          <w:rFonts w:ascii="Liberation Serif" w:hAnsi="Liberation Serif"/>
          <w:color w:val="000000"/>
          <w:sz w:val="28"/>
          <w:szCs w:val="28"/>
          <w:u w:val="none"/>
        </w:rPr>
        <w:t>Федерального закона от 06.10.2003 N 131-ФЗ «Об общих принципах организации местного самоуправления в Российской Федерации»</w:t>
      </w: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14"/>
          <w:rFonts w:ascii="Liberation Serif" w:hAnsi="Liberation Serif"/>
          <w:sz w:val="28"/>
          <w:szCs w:val="28"/>
        </w:rPr>
        <w:t xml:space="preserve"> в соответствии Федерального закона от 07.07.2003 года N 126-ФЗ «О связи» распоряжением Правительства Российской Федерации от 25.10.2003 № 1544-р, требованиями совместного приказа МЧС Российской Федерации, Министерства информационных технологий и связи Российской Федерации и Министерства культуры массовых коммуникаций Российской Федерации от 25.07.2006 № 422/90/376 «Об утверждении Положения о системах оповещения населения» и от 07.12.2005 № 877/138/597 «Об утверждении Положения по организации эксплуатационно-технического обслуживания систем оповещения населения», руководствуясь постановлением главы Камышловского городского округа от 04.02.2014 N 262 «О порядке оповещения и информирования населения об опасностях, возникающих ведении военных действий или вследствие этих действий, а также в случае возникновения чрезвычайных ситуаций природного и техногенного характера», постановлением администрации Камышловского городского округа</w:t>
      </w: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 xml:space="preserve"> </w:t>
      </w:r>
      <w:r>
        <w:rPr>
          <w:rStyle w:val="Style15"/>
          <w:rFonts w:ascii="Liberation Serif" w:hAnsi="Liberation Serif"/>
          <w:color w:val="000000"/>
          <w:sz w:val="28"/>
          <w:szCs w:val="28"/>
          <w:u w:val="none"/>
        </w:rPr>
        <w:t>от 31.01.2020 N 57 «Об утверждении Положения об организации и ведении гражданской обороны в Камышловском городском округе»</w:t>
      </w:r>
      <w:r>
        <w:rPr>
          <w:rStyle w:val="Style14"/>
          <w:rFonts w:ascii="Liberation Serif" w:hAnsi="Liberation Serif"/>
          <w:color w:val="000000"/>
          <w:sz w:val="28"/>
          <w:szCs w:val="28"/>
          <w:u w:val="none"/>
        </w:rPr>
        <w:t xml:space="preserve">, постановлением администрации Камышловского городского округа от </w:t>
      </w:r>
      <w:r>
        <w:rPr>
          <w:rStyle w:val="Style14"/>
          <w:rFonts w:ascii="Liberation Serif" w:hAnsi="Liberation Serif"/>
          <w:sz w:val="28"/>
          <w:szCs w:val="28"/>
        </w:rPr>
        <w:t>20.02.2020 года № 115  «О спасательных службах по обеспечению выполнения мероприятий по гражданской обороне в Камышловском городском округе» и пунктом 29, статьи 6, главы 2 Устава Камышловского городского округа, принятого решением Камышловской городской Думы от 26 мая 2005 г. N 257 (в редакции Решения Думы Камышловского городского округа от 07.09.2006 N 575),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в целях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организации своевременного оповещения и информирования населения Камышловского городского округа администрация   Камышловского городского округа</w:t>
      </w:r>
    </w:p>
    <w:p>
      <w:pPr>
        <w:pStyle w:val="Style23"/>
        <w:spacing w:lineRule="auto" w:line="240" w:before="0" w:after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 Ввести в эксплуатацию муниципальную систему оповещения населения Камышловского городского округа на базе комплекса программно-технических средств оповещения «Грифон» (КПТСО «Грифон») с 01 мая 2020 года.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2. При эксплуатации муниципальной системы оповещения руководствоваться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25.07.2006 № 422/90/376 «Об утверждении Положения о системах оповещения населения» и от 07.12.2005 № 877/138/597 «Об утверждении Положения по организации эксплуатационно-технического обслуживания систем оповещения населения».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3. Начальнику отдела гражданской обороны и пожарной безопасности администрации Камышловского городского округа А.В. Удалову: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3.1. осуществлять контроль за эксплуатационно-техническим обслуживанием муниципальной системы оповещения;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3.2. заключить договоры ответственного хранения с руководителями организаций (учреждений), собственниками (арендаторами) зданий и территорий, на которых размещено оборудование (при необходимости), (Приложение № 1). 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Начальнику Единой дежурно-диспетчерской службы Камышловского городского округа (далее – ЕДДС) Ю.В. Кузьминых Муниципального Казённого учреждения «Центр обеспечения деятельности администрации» (далее – МКУ «ЦОДА»):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4.1. составить паспорт муниципальной системы оповещения;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4.2. подготовить документы по техническому обслуживанию, ремонту и учёту муниципальной системы оповещения;</w:t>
      </w:r>
    </w:p>
    <w:p>
      <w:pPr>
        <w:pStyle w:val="Style23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4.3. обучить работников ЕДДС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МКУ «ЦОДА» приёму и передаче сигналов оповещения и речевой информации по КПТСО «Грифон» в мирное и военное время.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 Рекомендовать руководителям организаций (учреждений), собственникам (арендаторам) зданий и территорий, на которых установлены технические средства муниципальной системы оповещения (далее - технические средства):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5.1. обеспечить сохранность технических средств, в соответствии с заключенными договорами ответственного хранения;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5.2. информировать   МКУ «ЦОДА» Камышловского городского округа об обнаружении неисправностей и отключении технических средств.</w:t>
      </w:r>
    </w:p>
    <w:p>
      <w:pPr>
        <w:pStyle w:val="Style23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6. Аппаратуру П-164 системы оповещения населения Камышловского городского округа вывести из эксплуатации. 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Контроль за исполнением настоящего постановления оставляю за собой.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4242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1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Администрации Камышловского городского округа</w:t>
            </w:r>
          </w:p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30.04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2020 № </w:t>
            </w:r>
            <w:r>
              <w:rPr>
                <w:rFonts w:ascii="Liberation Serif" w:hAnsi="Liberation Serif"/>
                <w:sz w:val="24"/>
                <w:szCs w:val="24"/>
              </w:rPr>
              <w:t>291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объектов муниципальной системы оповещения населения Камышловского городского округа</w:t>
      </w:r>
    </w:p>
    <w:p>
      <w:pPr>
        <w:pStyle w:val="Style23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365"/>
        <w:gridCol w:w="2465"/>
        <w:gridCol w:w="1970"/>
        <w:gridCol w:w="1856"/>
      </w:tblGrid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11372- 1 шт.; Электросирена С-40- 1 шт.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КПТСО «Грифон» (комплект)- 1 шт.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Карла Маркса, 56 Административное здание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ЕДДС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Ю.В. Кузьминых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11371- 1 шт.; электросирена С-40- 1 шт.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Фарфористов, 11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Ю.В. Салихова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БУС-1 - 1 шт.; электросирена С-40- 1 шт.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Молокова, 9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«Лицей № 5»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Ковина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11373- 1 шт.; электросирена С-40- 1 шт.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Красных партизан, 2-а 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«Школа № 7»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Р.Р. Соколова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11723- 1 шт.; электросирена С-40- 1 шт.; Роутер «RUT» 950 зав. № 1102324176.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Ирбитская, 67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«Водоканал Камышлов»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А.Г. Малышев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1106- 1 шт.; электросирена С-40- 1 шт.; Роутер «RUT» 950 зав. № 1102314347.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Шадринская, 13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Автомагазин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Г.А. Колясников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11720- 1 шт.; электросирена С-40- 1 шт.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Северная, 63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ГБПОУ СО «Камышловский гуманитарно-технологический техникум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Е.Е. Бочкарева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11725- 1 шт.; электросирена С-40- 1 шт.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Энгельса, 208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ОАО «Полевской молочный комбинат»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Молодых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 управления сиренами БУС-1 зав. № 11722- 1 шт.; электросирена С-40- 1 шт.; Роутер («Ростелеком»)– 1 шт.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Заводская, 15 Административное здание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Камышловский почтамт АО «Почта России»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Дресвянкина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560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563C1"/>
      <w:u w:val="single"/>
    </w:rPr>
  </w:style>
  <w:style w:type="character" w:styleId="Style16">
    <w:name w:val="Знак примечания"/>
    <w:basedOn w:val="Style14"/>
    <w:qFormat/>
    <w:rPr>
      <w:sz w:val="16"/>
      <w:szCs w:val="16"/>
    </w:rPr>
  </w:style>
  <w:style w:type="character" w:styleId="Style17">
    <w:name w:val="Текст примечания Знак"/>
    <w:basedOn w:val="Style14"/>
    <w:qFormat/>
    <w:rPr>
      <w:sz w:val="20"/>
      <w:szCs w:val="20"/>
    </w:rPr>
  </w:style>
  <w:style w:type="character" w:styleId="Style18">
    <w:name w:val="Тема примечания Знак"/>
    <w:basedOn w:val="Style17"/>
    <w:qFormat/>
    <w:rPr>
      <w:b/>
      <w:bCs/>
      <w:sz w:val="20"/>
      <w:szCs w:val="20"/>
    </w:rPr>
  </w:style>
  <w:style w:type="character" w:styleId="Style19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20">
    <w:name w:val="Верхний колонтитул Знак"/>
    <w:basedOn w:val="Style14"/>
    <w:qFormat/>
    <w:rPr/>
  </w:style>
  <w:style w:type="character" w:styleId="Style21">
    <w:name w:val="Нижний колонтитул Знак"/>
    <w:basedOn w:val="Style14"/>
    <w:qFormat/>
    <w:rPr/>
  </w:style>
  <w:style w:type="character" w:styleId="Style22">
    <w:name w:val="Интернет-ссылка"/>
    <w:rPr>
      <w:color w:val="000080"/>
      <w:u w:val="single"/>
      <w:lang w:val="zxx" w:eastAsia="zxx" w:bidi="zxx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4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5">
    <w:name w:val="Текст примечания"/>
    <w:basedOn w:val="Style23"/>
    <w:qFormat/>
    <w:pPr>
      <w:suppressAutoHyphens w:val="true"/>
      <w:spacing w:lineRule="auto" w:line="240"/>
    </w:pPr>
    <w:rPr>
      <w:sz w:val="20"/>
      <w:szCs w:val="20"/>
    </w:rPr>
  </w:style>
  <w:style w:type="paragraph" w:styleId="Style26">
    <w:name w:val="Тема примечания"/>
    <w:basedOn w:val="Style25"/>
    <w:next w:val="Style25"/>
    <w:qFormat/>
    <w:pPr>
      <w:suppressAutoHyphens w:val="true"/>
    </w:pPr>
    <w:rPr>
      <w:b/>
      <w:bCs/>
    </w:rPr>
  </w:style>
  <w:style w:type="paragraph" w:styleId="Style27">
    <w:name w:val="Текст выноски"/>
    <w:basedOn w:val="Style23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0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LibreOffice/6.3.4.2$Windows_X86_64 LibreOffice_project/60da17e045e08f1793c57c00ba83cdfce946d0aa</Application>
  <Pages>5</Pages>
  <Words>855</Words>
  <CharactersWithSpaces>6689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admin</dc:creator>
  <dc:description/>
  <dc:language>ru-RU</dc:language>
  <cp:lastModifiedBy/>
  <cp:lastPrinted>2020-04-30T14:29:31Z</cp:lastPrinted>
  <dcterms:modified xsi:type="dcterms:W3CDTF">2020-04-30T14:31:47Z</dcterms:modified>
  <cp:revision>16</cp:revision>
  <dc:subject/>
  <dc:title/>
</cp:coreProperties>
</file>