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41" w:rsidRDefault="00801DCA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AE3541" w:rsidRDefault="00801DCA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AE3541" w:rsidRDefault="00801DCA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</w:p>
    <w:p w:rsidR="00AE3541" w:rsidRDefault="00801DCA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от 28.03.2019  № 288</w:t>
      </w:r>
    </w:p>
    <w:p w:rsidR="00AE3541" w:rsidRDefault="00AE3541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AE3541" w:rsidRDefault="00801DCA">
      <w:pPr>
        <w:pStyle w:val="af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 w:rsidR="00AE3541" w:rsidRDefault="00AE3541">
      <w:pPr>
        <w:pStyle w:val="af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3541" w:rsidRDefault="00801DCA">
      <w:pPr>
        <w:pStyle w:val="af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AE3541" w:rsidRDefault="00801DCA">
      <w:pPr>
        <w:pStyle w:val="af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AE3541" w:rsidRDefault="00801DCA">
      <w:pPr>
        <w:pStyle w:val="af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 w:rsidR="00AE3541" w:rsidRDefault="00AE3541">
      <w:pPr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9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4823"/>
        <w:gridCol w:w="4675"/>
      </w:tblGrid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муниципальной программы               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округа, уполномоченная организация МКУ «ЦОДА», подрядные организации, победители торгов (закупок).</w:t>
            </w: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2017-2024 годы</w:t>
            </w: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Цель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 Повышение качества и комфорта городской среды на территории Камышловского городского округа.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Задачи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: 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повышение уровня благоустройства дворовых территорий Камышловского городского округа;</w:t>
            </w:r>
          </w:p>
          <w:p w:rsidR="00AE3541" w:rsidRDefault="00801DCA"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повышение уровня благоустройства общественных территорий Камышловского городского округа;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округа.</w:t>
            </w:r>
          </w:p>
          <w:p w:rsidR="00AE3541" w:rsidRDefault="00AE3541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(при их наличии)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Целевые индикаторы и  показатели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 количество благоустроенных дворовых территорий многоквартирных домов;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многоквартирных домов выполненными работами по благоустройству дворовых территорий;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выполненными работами по благоустройству общественных территорий;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128</w:t>
            </w:r>
            <w:r w:rsidR="00715293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 740 413,10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2017 г - 0,00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2018 г – 19 889 207,79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 38</w:t>
            </w:r>
            <w:r w:rsidR="00715293">
              <w:rPr>
                <w:rFonts w:ascii="Liberation Serif" w:hAnsi="Liberation Serif" w:cs="Liberation Serif"/>
                <w:sz w:val="24"/>
                <w:szCs w:val="24"/>
              </w:rPr>
              <w:t> 639 453,31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 – 40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103 800,00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 – 30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107 952,00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них: 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бюджет: 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0,00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г. - 0,00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г –0,00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областной бюджет: </w:t>
            </w:r>
            <w:r w:rsidR="003727F2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6 </w:t>
            </w:r>
            <w:r w:rsidR="003727F2">
              <w:rPr>
                <w:rFonts w:ascii="Liberation Serif" w:hAnsi="Liberation Serif" w:cs="Liberation Serif"/>
                <w:b/>
                <w:sz w:val="24"/>
                <w:szCs w:val="24"/>
              </w:rPr>
              <w:t>376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700,00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2017 г. - 0,00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–16 829 700,00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</w:t>
            </w:r>
            <w:r w:rsidR="003727F2">
              <w:rPr>
                <w:rFonts w:ascii="Liberation Serif" w:hAnsi="Liberation Serif" w:cs="Liberation Serif"/>
                <w:sz w:val="24"/>
                <w:szCs w:val="24"/>
              </w:rPr>
              <w:t>9 547 000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местный бюджет: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="00715293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4 041 314,50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–3 059 507,79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</w:t>
            </w:r>
            <w:r w:rsidR="0071529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770 054,71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103 800,00 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107 952,00  </w:t>
            </w:r>
          </w:p>
          <w:p w:rsidR="00AE3541" w:rsidRDefault="00801DCA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- 0,00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внебюджетные источники: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98 322 398,60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–28 322 398,60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 – 40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000 000,00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 – 30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000 000,00</w:t>
            </w:r>
          </w:p>
          <w:p w:rsidR="00AE3541" w:rsidRDefault="00801DCA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2022 г - 0,00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AE3541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Кардинальное повышение комфортности городской среды, повышение индекса качества городской среды на 30 процентов. Формирование единого облика Камышловского городского округа; </w:t>
            </w:r>
          </w:p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Создание, содержание и развитие объектов благоустройства на территории Камышловского городского округа, включая объекты, находящиеся в частной собственности и прилегающие к ним территории.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Создание механизма прямого участия граждан в формирование комфортной городской среды</w:t>
            </w:r>
          </w:p>
          <w:p w:rsidR="00AE3541" w:rsidRDefault="00AE3541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3541"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http://gorod-kamyshlov.ru/</w:t>
            </w:r>
          </w:p>
        </w:tc>
      </w:tr>
    </w:tbl>
    <w:p w:rsidR="00AE3541" w:rsidRDefault="00AE3541">
      <w:pPr>
        <w:sectPr w:rsidR="00AE3541">
          <w:headerReference w:type="default" r:id="rId6"/>
          <w:pgSz w:w="11906" w:h="16838"/>
          <w:pgMar w:top="1686" w:right="567" w:bottom="1134" w:left="1701" w:header="1134" w:footer="0" w:gutter="0"/>
          <w:cols w:space="720"/>
          <w:formProt w:val="0"/>
          <w:titlePg/>
          <w:docGrid w:linePitch="600" w:charSpace="36864"/>
        </w:sectPr>
      </w:pPr>
    </w:p>
    <w:p w:rsidR="00AE3541" w:rsidRDefault="00801DCA">
      <w:pPr>
        <w:pStyle w:val="af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AE3541" w:rsidRDefault="00801DCA">
      <w:pPr>
        <w:pStyle w:val="af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благоустройства</w:t>
      </w:r>
    </w:p>
    <w:p w:rsidR="00AE3541" w:rsidRDefault="00AE3541">
      <w:pPr>
        <w:pStyle w:val="af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3541" w:rsidRDefault="00AE3541">
      <w:pPr>
        <w:pStyle w:val="af0"/>
        <w:jc w:val="center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территории Камышловского городского округа находятся                               1 241 многоквартирных домов, общей площадью 531,9 тыс. квадратных метров, более 130 дворов с имеющимися детскими игровыми площадками.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настоящее время детскими игровыми площадками оборудовано около 60 дворов, что составляет 21 процент от их общего количества дворовых территорий (по данным из ГИС ЖКХ - 289 дворовых территории).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процентов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Одной из причин не благоустроенности дворовых территорий является дефицит средств местного бюджета Камышловского городского округа, ежегодно выделяемых на новое строительство и содержание объектов внешнего благоустройства.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35 метров).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требуют значительных бюджетных расходов и сроков реализации, превышающих один год;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носят комплексный характер.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AE3541" w:rsidRDefault="00801DCA">
      <w:pPr>
        <w:pStyle w:val="af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сформирует инструменты общественного контроля за реализацией мероприятий по благоустройству на территории Камышловского городского округа. </w:t>
      </w:r>
    </w:p>
    <w:p w:rsidR="00AE3541" w:rsidRDefault="00801DCA">
      <w:pPr>
        <w:pStyle w:val="af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Таким образом, приоритетом в сфере благоустройства является комплексный подход к реализации мероприятий по благоустройству, отвечающих современным требованиям, позволяющий создать современную городскую комфортную среду для проживания граждан, а также комфортное современное «общественное пространство». Перечень дворовых и общественных территорий, нуждающихся в благоустройстве, может утверждаться отдельным нормативно-правовым документом. </w:t>
      </w:r>
    </w:p>
    <w:p w:rsidR="00AE3541" w:rsidRDefault="00801DCA">
      <w:pPr>
        <w:pStyle w:val="af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до 2024 года представлен в табл. 1.</w:t>
      </w:r>
    </w:p>
    <w:p w:rsidR="00AE3541" w:rsidRDefault="00801DCA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1</w:t>
      </w:r>
    </w:p>
    <w:p w:rsidR="00AE3541" w:rsidRDefault="00801DCA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Адресный перечень общественных территорий,</w:t>
      </w:r>
    </w:p>
    <w:p w:rsidR="00AE3541" w:rsidRDefault="00801DCA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нуждающихся в благоустройстве и подлежащих благоустройству до 2024 года </w:t>
      </w:r>
    </w:p>
    <w:p w:rsidR="00AE3541" w:rsidRDefault="00801DCA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47"/>
        <w:gridCol w:w="2172"/>
        <w:gridCol w:w="6946"/>
      </w:tblGrid>
      <w:tr w:rsidR="00AE3541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  <w:p w:rsidR="00AE3541" w:rsidRPr="009D5E15" w:rsidRDefault="00AE3541">
            <w:pPr>
              <w:pStyle w:val="af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Центральный городской сквер и площадь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центральный городской сквер и площадь по ул. К. Маркса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ул. Карла Маркса - ул. Энгельса (у Покровского собора)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Свердлова (у администрации Камышловского ГО)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Маяковского (у  полиции)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Маяковского - ул. Энгельса (возле педколледжа, Парк Учителей)</w:t>
            </w:r>
          </w:p>
        </w:tc>
      </w:tr>
      <w:tr w:rsidR="00AE3541">
        <w:trPr>
          <w:trHeight w:val="35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Гагарина (от сбербанка до ЦКиД)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Вокзальная (возле спортзала)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г. Камышлов, ул. Фарфористов  </w:t>
            </w:r>
          </w:p>
        </w:tc>
      </w:tr>
      <w:tr w:rsidR="00AE35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Ленина (возле музея)</w:t>
            </w:r>
          </w:p>
        </w:tc>
      </w:tr>
    </w:tbl>
    <w:p w:rsidR="00AE3541" w:rsidRDefault="00AE3541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Адресный перечень дворовых территорий, нуждающихся в благоустройстве и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подлежащих благоустройству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 2024 года представлен в табл. 2.</w:t>
      </w:r>
    </w:p>
    <w:p w:rsidR="009D5E15" w:rsidRDefault="009D5E15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9D5E15" w:rsidRDefault="009D5E15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9D5E15" w:rsidRDefault="009D5E15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9D5E15" w:rsidRDefault="009D5E15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9D5E15" w:rsidRDefault="009D5E15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Таблица 2</w:t>
      </w:r>
    </w:p>
    <w:p w:rsidR="00AE3541" w:rsidRDefault="00801DCA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Адресный перечень дворовых территорий,</w:t>
      </w:r>
    </w:p>
    <w:p w:rsidR="00AE3541" w:rsidRDefault="00801DCA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нуждающихся в благоустройстве и подлежащих благоустройству до 2024 года </w:t>
      </w:r>
    </w:p>
    <w:p w:rsidR="00AE3541" w:rsidRDefault="00801DCA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"/>
        <w:gridCol w:w="2747"/>
        <w:gridCol w:w="6380"/>
      </w:tblGrid>
      <w:tr w:rsidR="00AE3541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 w:rsidP="00801DCA">
            <w:pPr>
              <w:pStyle w:val="af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дворовой территории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AE354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Загородная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 г. Камышлов, ул. Загородная, дома № 20, 22, 24, </w:t>
            </w:r>
          </w:p>
          <w:p w:rsidR="00AE3541" w:rsidRPr="009D5E15" w:rsidRDefault="00801DC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Карловарская, дома № 2, 2а</w:t>
            </w:r>
          </w:p>
        </w:tc>
      </w:tr>
      <w:tr w:rsidR="00AE354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Советская, 103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ул. Советская, дом № 103, ул. Леваневского, дом № 1в, ул. Рабочая, 2</w:t>
            </w:r>
          </w:p>
        </w:tc>
      </w:tr>
      <w:tr w:rsidR="00AE354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Ленинградская, 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41" w:rsidRPr="009D5E15" w:rsidRDefault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Ленинградская, дом № 27</w:t>
            </w:r>
          </w:p>
        </w:tc>
      </w:tr>
    </w:tbl>
    <w:p w:rsidR="00801DCA" w:rsidRDefault="00801DCA" w:rsidP="00801DCA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801DCA" w:rsidRDefault="00801DCA" w:rsidP="00801DCA">
      <w:pPr>
        <w:pStyle w:val="af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</w:t>
      </w:r>
      <w:r w:rsidR="009D5E1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табл. 3.</w:t>
      </w:r>
    </w:p>
    <w:p w:rsidR="00801DCA" w:rsidRDefault="00801DCA" w:rsidP="00801DCA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801DCA" w:rsidRDefault="00801DCA" w:rsidP="00801DCA">
      <w:pPr>
        <w:pStyle w:val="af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3</w:t>
      </w:r>
    </w:p>
    <w:p w:rsidR="00801DCA" w:rsidRPr="00801DCA" w:rsidRDefault="00801DCA" w:rsidP="00801DCA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Адресный перечень </w:t>
      </w:r>
      <w:r w:rsidRPr="00801DCA">
        <w:rPr>
          <w:rFonts w:ascii="Liberation Serif" w:hAnsi="Liberation Serif" w:cs="Liberation Serif"/>
          <w:b w:val="0"/>
          <w:i w:val="0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</w:t>
      </w:r>
      <w:r w:rsidR="009D5E15">
        <w:rPr>
          <w:rFonts w:ascii="Liberation Serif" w:hAnsi="Liberation Serif" w:cs="Liberation Serif"/>
          <w:b w:val="0"/>
          <w:i w:val="0"/>
        </w:rPr>
        <w:t xml:space="preserve"> </w:t>
      </w:r>
      <w:r w:rsidRPr="00801DCA">
        <w:rPr>
          <w:rFonts w:ascii="Liberation Serif" w:hAnsi="Liberation Serif" w:cs="Liberation Serif"/>
          <w:b w:val="0"/>
          <w:i w:val="0"/>
        </w:rPr>
        <w:t>юридических лиц и индивидуальных предпринимателей</w:t>
      </w:r>
      <w:r w:rsidRPr="00801DCA"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p w:rsidR="00801DCA" w:rsidRDefault="00801DCA" w:rsidP="00801DCA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"/>
        <w:gridCol w:w="2747"/>
        <w:gridCol w:w="6380"/>
      </w:tblGrid>
      <w:tr w:rsidR="00801DCA" w:rsidTr="009D5E15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CA" w:rsidRPr="009D5E15" w:rsidRDefault="00801DCA" w:rsidP="00801DC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CA" w:rsidRPr="009D5E15" w:rsidRDefault="00801DCA" w:rsidP="00801DCA">
            <w:pPr>
              <w:pStyle w:val="af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Наименование </w:t>
            </w:r>
            <w:r w:rsidR="009D5E15" w:rsidRPr="009D5E15">
              <w:rPr>
                <w:rFonts w:ascii="Liberation Serif" w:hAnsi="Liberation Serif" w:cs="Liberation Serif"/>
                <w:sz w:val="28"/>
                <w:szCs w:val="28"/>
              </w:rPr>
              <w:t>недвижимого имущества и земельного участка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CA" w:rsidRPr="009D5E15" w:rsidRDefault="00801DCA" w:rsidP="00801DCA">
            <w:pPr>
              <w:pStyle w:val="af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F82F68" w:rsidTr="009D5E15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F68" w:rsidRPr="009D5E15" w:rsidRDefault="00F82F68" w:rsidP="00801DCA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F68" w:rsidRPr="009D5E15" w:rsidRDefault="00444B77" w:rsidP="00444B77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Здание и земельный участок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F68" w:rsidRPr="009D5E15" w:rsidRDefault="00444B77" w:rsidP="00801DCA">
            <w:pPr>
              <w:pStyle w:val="af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42 «а»</w:t>
            </w:r>
          </w:p>
        </w:tc>
      </w:tr>
      <w:tr w:rsidR="00444B77" w:rsidTr="009D5E15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B77" w:rsidRPr="009D5E15" w:rsidRDefault="00444B77" w:rsidP="00444B77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B77" w:rsidRPr="009D5E15" w:rsidRDefault="00444B77" w:rsidP="00444B77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Здание и земельный участок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B77" w:rsidRPr="009D5E15" w:rsidRDefault="00444B77" w:rsidP="00444B77">
            <w:pPr>
              <w:pStyle w:val="af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Свердловская область, г. Камышлов, ул. Карла Маркса, дом №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28</w:t>
            </w:r>
          </w:p>
        </w:tc>
      </w:tr>
      <w:tr w:rsidR="00444B77" w:rsidTr="009D5E15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B77" w:rsidRDefault="00444B77" w:rsidP="00444B77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B77" w:rsidRPr="009D5E15" w:rsidRDefault="00444B77" w:rsidP="00444B77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Здание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B77" w:rsidRPr="009D5E15" w:rsidRDefault="00444B77" w:rsidP="00444B77">
            <w:pPr>
              <w:pStyle w:val="af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Свердловская область, г. Камышлов, ул. Карла Маркса, дом №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40 «а»</w:t>
            </w:r>
          </w:p>
        </w:tc>
      </w:tr>
      <w:tr w:rsidR="00444B77" w:rsidTr="009D5E15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B77" w:rsidRPr="009D5E15" w:rsidRDefault="00444B77" w:rsidP="00444B77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B77" w:rsidRPr="009D5E15" w:rsidRDefault="00444B77" w:rsidP="00444B77">
            <w:pPr>
              <w:pStyle w:val="af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Здание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B77" w:rsidRPr="009D5E15" w:rsidRDefault="00444B77" w:rsidP="00444B77">
            <w:pPr>
              <w:pStyle w:val="af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Свердловская область, г. Камышлов, ул. Карла Маркса, дом №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39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</w:tc>
      </w:tr>
    </w:tbl>
    <w:p w:rsidR="00801DCA" w:rsidRDefault="00801DCA">
      <w:pPr>
        <w:pStyle w:val="af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1DCA" w:rsidRDefault="00801DCA">
      <w:pPr>
        <w:pStyle w:val="af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4B77" w:rsidRDefault="00444B77">
      <w:pPr>
        <w:pStyle w:val="af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AE3541" w:rsidRDefault="00801DCA">
      <w:pPr>
        <w:pStyle w:val="af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2. Цели и задачи муниципальной программы, целевые показатели реализации муниципальной программы</w:t>
      </w:r>
    </w:p>
    <w:p w:rsidR="00AE3541" w:rsidRDefault="00AE3541">
      <w:pPr>
        <w:pStyle w:val="af0"/>
        <w:jc w:val="center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Задачи, направленные на решение основной цели программы: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благоустройства общественных территорий (в том числе, центрального городского сквера по ул. К. Маркса, сквера по ул. Маяковского - ул. Энгельса (возле педколледжа), сквера по ул. Гагарина в сторону ЦКиД) Камышловского городского округа;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создание доступной для инвалидов городской среды: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оптимальное для инвалидов размещение и оборудование остановок общественного транспорта;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оборудование доступных для инвалидов мест отдыха в скверах, садах, парках местного значения и лесопарках;</w:t>
      </w:r>
    </w:p>
    <w:p w:rsidR="00AE3541" w:rsidRDefault="00801DCA">
      <w:pPr>
        <w:pStyle w:val="af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- увеличение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AE3541" w:rsidRDefault="00801DCA">
      <w:pPr>
        <w:pStyle w:val="af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- обеспечение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AE3541" w:rsidRDefault="00801DCA">
      <w:pPr>
        <w:pStyle w:val="af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 - устройство удобных и безопасных для инвалидов подходов к воде, приспособленных пирсов, адаптированных участков на пляжах.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2017-2024 годы» приведены в Приложении № 1 к настоящей Программе.</w:t>
      </w:r>
    </w:p>
    <w:p w:rsidR="00AE3541" w:rsidRDefault="00AE3541">
      <w:pPr>
        <w:pStyle w:val="af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E3541" w:rsidRDefault="00801DCA">
      <w:pPr>
        <w:pStyle w:val="af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AE3541" w:rsidRDefault="00AE3541">
      <w:pPr>
        <w:pStyle w:val="af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2017-2024 годы» приведены в Приложении № 2 к настоящей Программе.</w:t>
      </w:r>
    </w:p>
    <w:p w:rsidR="00801DCA" w:rsidRDefault="00801DCA">
      <w:pPr>
        <w:pStyle w:val="af0"/>
        <w:jc w:val="center"/>
        <w:rPr>
          <w:rFonts w:ascii="Liberation Serif" w:hAnsi="Liberation Serif" w:cs="Liberation Serif"/>
          <w:sz w:val="28"/>
          <w:szCs w:val="28"/>
        </w:rPr>
      </w:pPr>
    </w:p>
    <w:p w:rsidR="00AE3541" w:rsidRDefault="00801DCA">
      <w:pPr>
        <w:pStyle w:val="af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4. Эффективность муниципальной программы</w:t>
      </w:r>
    </w:p>
    <w:p w:rsidR="00AE3541" w:rsidRDefault="00AE3541">
      <w:pPr>
        <w:pStyle w:val="af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Ответственный исполнитель программы: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Осуществляет полномочия главного распорядителя средств местного бюджета, предусмотренных на реализацию программы;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 Организует инвентаризацию общественных и дворовых территорий, нуждающихся в благоустройстве;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 Принимает участие в организации общественных обсуждений проектов благоустройства общественных и дворовых территорий;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 Организует проведение конкурсных процедур по отбору исполнителей контрактов.</w:t>
      </w:r>
    </w:p>
    <w:p w:rsidR="00AE3541" w:rsidRDefault="00801DCA">
      <w:pPr>
        <w:pStyle w:val="af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AE3541" w:rsidRDefault="00801DCA">
      <w:pPr>
        <w:pStyle w:val="af0"/>
        <w:ind w:firstLine="709"/>
        <w:jc w:val="both"/>
        <w:sectPr w:rsidR="00AE3541">
          <w:headerReference w:type="default" r:id="rId7"/>
          <w:pgSz w:w="11906" w:h="16838"/>
          <w:pgMar w:top="1686" w:right="851" w:bottom="709" w:left="1418" w:header="1134" w:footer="0" w:gutter="0"/>
          <w:cols w:space="720"/>
          <w:formProt w:val="0"/>
          <w:docGrid w:linePitch="600" w:charSpace="36864"/>
        </w:sectPr>
      </w:pPr>
      <w:r>
        <w:rPr>
          <w:rFonts w:ascii="Liberation Serif" w:hAnsi="Liberation Serif" w:cs="Liberation Serif"/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tbl>
      <w:tblPr>
        <w:tblW w:w="14657" w:type="dxa"/>
        <w:tblInd w:w="-15" w:type="dxa"/>
        <w:tblLook w:val="04A0" w:firstRow="1" w:lastRow="0" w:firstColumn="1" w:lastColumn="0" w:noHBand="0" w:noVBand="1"/>
      </w:tblPr>
      <w:tblGrid>
        <w:gridCol w:w="845"/>
        <w:gridCol w:w="2483"/>
        <w:gridCol w:w="1247"/>
        <w:gridCol w:w="874"/>
        <w:gridCol w:w="898"/>
        <w:gridCol w:w="912"/>
        <w:gridCol w:w="741"/>
        <w:gridCol w:w="182"/>
        <w:gridCol w:w="1000"/>
        <w:gridCol w:w="476"/>
        <w:gridCol w:w="460"/>
        <w:gridCol w:w="1343"/>
        <w:gridCol w:w="1435"/>
        <w:gridCol w:w="1761"/>
      </w:tblGrid>
      <w:tr w:rsidR="00AE3541">
        <w:trPr>
          <w:trHeight w:val="1470"/>
        </w:trPr>
        <w:tc>
          <w:tcPr>
            <w:tcW w:w="844" w:type="dxa"/>
            <w:shd w:val="clear" w:color="auto" w:fill="auto"/>
            <w:vAlign w:val="bottom"/>
          </w:tcPr>
          <w:p w:rsidR="00AE3541" w:rsidRDefault="00AE3541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AE3541" w:rsidRDefault="00AE3541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E3541" w:rsidRDefault="00AE3541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AE3541" w:rsidRDefault="00AE3541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AE3541" w:rsidRDefault="00AE3541">
            <w:pPr>
              <w:spacing w:after="20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AE3541" w:rsidRDefault="00AE3541">
            <w:pPr>
              <w:pStyle w:val="af0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  <w:gridSpan w:val="3"/>
            <w:shd w:val="clear" w:color="auto" w:fill="auto"/>
          </w:tcPr>
          <w:p w:rsidR="00AE3541" w:rsidRDefault="00AE3541">
            <w:pPr>
              <w:pStyle w:val="af0"/>
              <w:rPr>
                <w:rFonts w:ascii="Liberation Serif" w:hAnsi="Liberation Serif" w:cs="Liberation Serif"/>
              </w:rPr>
            </w:pPr>
          </w:p>
        </w:tc>
        <w:tc>
          <w:tcPr>
            <w:tcW w:w="4999" w:type="dxa"/>
            <w:gridSpan w:val="4"/>
            <w:shd w:val="clear" w:color="auto" w:fill="auto"/>
          </w:tcPr>
          <w:p w:rsidR="00AE3541" w:rsidRDefault="00801DCA">
            <w:pPr>
              <w:pStyle w:val="af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1</w:t>
            </w:r>
          </w:p>
          <w:p w:rsidR="00AE3541" w:rsidRDefault="00801DCA">
            <w:pPr>
              <w:pStyle w:val="af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AE3541" w:rsidRDefault="00801DCA">
            <w:pPr>
              <w:pStyle w:val="af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«Формирование современной городской среды на</w:t>
            </w:r>
          </w:p>
          <w:p w:rsidR="00AE3541" w:rsidRDefault="00801DCA">
            <w:pPr>
              <w:pStyle w:val="af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территории Камышловского городского округа</w:t>
            </w:r>
          </w:p>
          <w:p w:rsidR="00AE3541" w:rsidRDefault="00801DCA">
            <w:pPr>
              <w:pStyle w:val="af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AE3541">
        <w:trPr>
          <w:trHeight w:val="525"/>
        </w:trPr>
        <w:tc>
          <w:tcPr>
            <w:tcW w:w="14656" w:type="dxa"/>
            <w:gridSpan w:val="14"/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ЦЕЛИ, ЗАДАЧИ И ЦЕЛЕВЫЕ ПОКАЗАТЕЛИ</w:t>
            </w:r>
          </w:p>
        </w:tc>
      </w:tr>
      <w:tr w:rsidR="00AE3541">
        <w:trPr>
          <w:trHeight w:val="405"/>
        </w:trPr>
        <w:tc>
          <w:tcPr>
            <w:tcW w:w="14656" w:type="dxa"/>
            <w:gridSpan w:val="14"/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реализации муниципальной программы "Формирование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AE3541">
        <w:trPr>
          <w:trHeight w:val="510"/>
        </w:trPr>
        <w:tc>
          <w:tcPr>
            <w:tcW w:w="14656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 2017-2024 годы"</w:t>
            </w:r>
          </w:p>
        </w:tc>
      </w:tr>
      <w:tr w:rsidR="00AE3541">
        <w:trPr>
          <w:trHeight w:val="390"/>
        </w:trPr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32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 </w:t>
            </w:r>
          </w:p>
        </w:tc>
        <w:tc>
          <w:tcPr>
            <w:tcW w:w="1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AE3541">
        <w:trPr>
          <w:trHeight w:val="255"/>
        </w:trPr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Муниципальная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программа 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AE3541" w:rsidRDefault="00801DCA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Цель 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повышение качества и комфорта городской среды на территории Камышловского городского округа.</w:t>
            </w:r>
          </w:p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AE3541"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1</w:t>
            </w:r>
          </w:p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AE3541">
        <w:trPr>
          <w:trHeight w:val="127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1.1.2.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2</w:t>
            </w:r>
          </w:p>
          <w:p w:rsidR="00AE3541" w:rsidRDefault="00801DCA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Удовлетворенность жителей многоквартирных домов выполненными работами по благоустройству дворовых территорий.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AE3541"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1.2.1.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3</w:t>
            </w:r>
          </w:p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Количество благоустроенных общественных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AE3541">
        <w:trPr>
          <w:trHeight w:val="127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4</w:t>
            </w:r>
          </w:p>
          <w:p w:rsidR="00AE3541" w:rsidRDefault="00801DCA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AE3541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AE3541">
        <w:trPr>
          <w:trHeight w:val="103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1.3.1.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5</w:t>
            </w:r>
          </w:p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Результат включения дворовых и общественных пространств  в программу</w:t>
            </w:r>
          </w:p>
        </w:tc>
      </w:tr>
    </w:tbl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p w:rsidR="00AE3541" w:rsidRDefault="00AE3541">
      <w:pPr>
        <w:jc w:val="both"/>
        <w:rPr>
          <w:rFonts w:ascii="Liberation Serif" w:hAnsi="Liberation Serif" w:cs="Liberation Serif"/>
        </w:rPr>
      </w:pPr>
    </w:p>
    <w:tbl>
      <w:tblPr>
        <w:tblW w:w="15332" w:type="dxa"/>
        <w:tblInd w:w="185" w:type="dxa"/>
        <w:tblLook w:val="04A0" w:firstRow="1" w:lastRow="0" w:firstColumn="1" w:lastColumn="0" w:noHBand="0" w:noVBand="1"/>
      </w:tblPr>
      <w:tblGrid>
        <w:gridCol w:w="845"/>
        <w:gridCol w:w="2496"/>
        <w:gridCol w:w="1346"/>
        <w:gridCol w:w="876"/>
        <w:gridCol w:w="1318"/>
        <w:gridCol w:w="1319"/>
        <w:gridCol w:w="1361"/>
        <w:gridCol w:w="1383"/>
        <w:gridCol w:w="1033"/>
        <w:gridCol w:w="911"/>
        <w:gridCol w:w="1074"/>
        <w:gridCol w:w="1128"/>
        <w:gridCol w:w="242"/>
      </w:tblGrid>
      <w:tr w:rsidR="00AE3541" w:rsidTr="00B036A0">
        <w:trPr>
          <w:gridAfter w:val="1"/>
          <w:wAfter w:w="242" w:type="dxa"/>
          <w:trHeight w:val="1412"/>
        </w:trPr>
        <w:tc>
          <w:tcPr>
            <w:tcW w:w="845" w:type="dxa"/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AE3541" w:rsidRDefault="00AE354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AE3541" w:rsidRDefault="00AE3541">
            <w:pPr>
              <w:pStyle w:val="af0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  <w:shd w:val="clear" w:color="auto" w:fill="auto"/>
          </w:tcPr>
          <w:p w:rsidR="00AE3541" w:rsidRDefault="00AE3541">
            <w:pPr>
              <w:pStyle w:val="af0"/>
              <w:rPr>
                <w:rFonts w:ascii="Liberation Serif" w:hAnsi="Liberation Serif" w:cs="Liberation Serif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AE3541" w:rsidRDefault="00801DCA">
            <w:pPr>
              <w:pStyle w:val="af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2</w:t>
            </w:r>
          </w:p>
          <w:p w:rsidR="00AE3541" w:rsidRDefault="00801DCA">
            <w:pPr>
              <w:pStyle w:val="af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AE3541" w:rsidRDefault="00801DCA">
            <w:pPr>
              <w:pStyle w:val="af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"Формирование современной городской среды на</w:t>
            </w:r>
          </w:p>
          <w:p w:rsidR="00AE3541" w:rsidRDefault="00801DCA">
            <w:pPr>
              <w:pStyle w:val="af0"/>
            </w:pPr>
            <w:r>
              <w:rPr>
                <w:rFonts w:ascii="Liberation Serif" w:hAnsi="Liberation Serif" w:cs="Liberation Serif"/>
              </w:rPr>
              <w:t xml:space="preserve">Территории </w:t>
            </w:r>
            <w:r>
              <w:rPr>
                <w:rFonts w:ascii="Liberation Serif" w:hAnsi="Liberation Serif" w:cs="Liberation Serif"/>
                <w:color w:val="000000"/>
              </w:rPr>
              <w:t>Камышловского городского округа</w:t>
            </w:r>
          </w:p>
          <w:p w:rsidR="00AE3541" w:rsidRDefault="00801DCA">
            <w:pPr>
              <w:pStyle w:val="af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AE3541" w:rsidTr="00B036A0">
        <w:trPr>
          <w:gridAfter w:val="1"/>
          <w:wAfter w:w="242" w:type="dxa"/>
          <w:trHeight w:val="736"/>
        </w:trPr>
        <w:tc>
          <w:tcPr>
            <w:tcW w:w="15090" w:type="dxa"/>
            <w:gridSpan w:val="12"/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ПЛАН МЕРОПРИЯТИЙ</w:t>
            </w:r>
          </w:p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по выполнению муниципальной программы «Формирование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AE3541" w:rsidTr="00B036A0">
        <w:trPr>
          <w:gridAfter w:val="1"/>
          <w:wAfter w:w="242" w:type="dxa"/>
          <w:trHeight w:val="360"/>
        </w:trPr>
        <w:tc>
          <w:tcPr>
            <w:tcW w:w="15090" w:type="dxa"/>
            <w:gridSpan w:val="12"/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на 2017-2024годы»</w:t>
            </w:r>
          </w:p>
        </w:tc>
      </w:tr>
      <w:tr w:rsidR="00AE3541" w:rsidTr="00B036A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21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E3541" w:rsidRDefault="00801DCA">
            <w:pPr>
              <w:tabs>
                <w:tab w:val="left" w:pos="2376"/>
              </w:tabs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AE3541" w:rsidTr="00B036A0">
        <w:trPr>
          <w:trHeight w:val="1125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AE3541"/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2024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541" w:rsidRDefault="00AE3541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</w:tr>
      <w:tr w:rsidR="00AE3541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541" w:rsidRDefault="00801DCA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widowControl/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widowControl/>
              <w:suppressAutoHyphens w:val="0"/>
              <w:overflowPunct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128 740 413,10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19 889 207,79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38 639 453,31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40 103 800,00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26 376 700,00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9 547 000,00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4 041 314,50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3 059 507,79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770 054,71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98 322 398,60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128 740 413,10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19 889 207,79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38 639 453,31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40 103 800,00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26 376 700,00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9 547 000,00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4 041 314,50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3 059 507,79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770 054,71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98 322 398,60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25 643 902,32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23 683 568,60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2 240 333,72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28 322 398,60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24 900 753,32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2 190 333,72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22 710 419,60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22 710 419,60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Комплексное благоустройство территории многоквартирного дома по ул. Ленинградская, 27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4 918 830,00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4 918 830,00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Мероприятие 1.2. Благоустройство общественных территорий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97 765 928,78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17 828 874,07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9 937 054,71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26 376 700,00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9 547 000,00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1 389 228,78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999 174,07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390 054,71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70 000 000,00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реконструкция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27 765 928,78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17 828 874,07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9 937 054,71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\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26 376 700,00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9 547 000,00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1 389 228,78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999 174,07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390 054,71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 том числе благоустройство 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Маяковского - ул. Энгельса (возле педколледжа, Парк учителей) 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Гагарина (от сбербанка до ЦКиД) 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внебюджетные источники*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Мероприятие 1.3. Общепрограммные расходы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411 752,00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B036A0" w:rsidTr="00B036A0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411 752,00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6A0" w:rsidRPr="00B036A0" w:rsidRDefault="00B036A0" w:rsidP="00B036A0">
            <w:pPr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036A0" w:rsidRPr="00B036A0" w:rsidRDefault="00B036A0" w:rsidP="00B036A0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036A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</w:tbl>
    <w:p w:rsidR="00AE3541" w:rsidRDefault="00801DCA">
      <w:pPr>
        <w:pStyle w:val="ConsPlusTitle"/>
        <w:widowControl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AE3541" w:rsidRDefault="00AE3541">
      <w:pPr>
        <w:pStyle w:val="ConsPlusTitle"/>
        <w:widowControl/>
        <w:rPr>
          <w:rFonts w:ascii="Liberation Serif" w:hAnsi="Liberation Serif" w:cs="Liberation Serif"/>
        </w:rPr>
      </w:pPr>
    </w:p>
    <w:p w:rsidR="00AE3541" w:rsidRDefault="00801DCA">
      <w:pPr>
        <w:pStyle w:val="ConsPlusTitle"/>
        <w:widowControl/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    * - в случае выделения денежных средств из областного и (или) местного бюджетов внебюджетный источник подлежит корректировке.</w:t>
      </w:r>
    </w:p>
    <w:sectPr w:rsidR="00AE3541">
      <w:headerReference w:type="default" r:id="rId8"/>
      <w:pgSz w:w="16838" w:h="11906" w:orient="landscape"/>
      <w:pgMar w:top="1418" w:right="1134" w:bottom="0" w:left="1134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ED" w:rsidRDefault="001475ED">
      <w:r>
        <w:separator/>
      </w:r>
    </w:p>
  </w:endnote>
  <w:endnote w:type="continuationSeparator" w:id="0">
    <w:p w:rsidR="001475ED" w:rsidRDefault="0014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ED" w:rsidRDefault="001475ED">
      <w:r>
        <w:separator/>
      </w:r>
    </w:p>
  </w:footnote>
  <w:footnote w:type="continuationSeparator" w:id="0">
    <w:p w:rsidR="001475ED" w:rsidRDefault="0014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68" w:rsidRDefault="00F82F6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44B7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68" w:rsidRDefault="00F82F6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44B77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68" w:rsidRDefault="00F82F6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44B77">
      <w:rPr>
        <w:noProof/>
      </w:rPr>
      <w:t>15</w:t>
    </w:r>
    <w:r>
      <w:fldChar w:fldCharType="end"/>
    </w:r>
  </w:p>
  <w:p w:rsidR="00F82F68" w:rsidRDefault="00F82F6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541"/>
    <w:rsid w:val="001475ED"/>
    <w:rsid w:val="003727F2"/>
    <w:rsid w:val="00444B77"/>
    <w:rsid w:val="00715293"/>
    <w:rsid w:val="00801DCA"/>
    <w:rsid w:val="009660F0"/>
    <w:rsid w:val="009D5E15"/>
    <w:rsid w:val="00AE3541"/>
    <w:rsid w:val="00B036A0"/>
    <w:rsid w:val="00F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0B51"/>
  <w15:docId w15:val="{19AC5EB0-237B-46D0-9B71-AB515A0F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Pr>
      <w:sz w:val="21"/>
      <w:szCs w:val="21"/>
      <w:highlight w:val="white"/>
    </w:rPr>
  </w:style>
  <w:style w:type="character" w:customStyle="1" w:styleId="2">
    <w:name w:val="Основной текст (2)_"/>
    <w:qFormat/>
    <w:rPr>
      <w:rFonts w:ascii="Sylfaen" w:eastAsia="Sylfaen" w:hAnsi="Sylfaen" w:cs="Sylfaen"/>
      <w:spacing w:val="10"/>
      <w:sz w:val="21"/>
      <w:szCs w:val="21"/>
      <w:highlight w:val="white"/>
    </w:rPr>
  </w:style>
  <w:style w:type="character" w:customStyle="1" w:styleId="2TimesNewRoman">
    <w:name w:val="Основной текст (2) + Times New Roman"/>
    <w:qFormat/>
    <w:rPr>
      <w:rFonts w:ascii="Times New Roman" w:eastAsia="Times New Roman" w:hAnsi="Times New Roman" w:cs="Times New Roman"/>
      <w:i/>
      <w:iCs/>
      <w:spacing w:val="10"/>
      <w:sz w:val="25"/>
      <w:szCs w:val="25"/>
      <w:highlight w:val="white"/>
      <w:lang w:bidi="ar-SA"/>
    </w:rPr>
  </w:style>
  <w:style w:type="character" w:customStyle="1" w:styleId="a3">
    <w:name w:val="Основной текст_"/>
    <w:qFormat/>
    <w:rPr>
      <w:highlight w:val="white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Bodytext3">
    <w:name w:val="Body text (3)_"/>
    <w:basedOn w:val="a0"/>
    <w:qFormat/>
    <w:rPr>
      <w:b/>
      <w:bCs/>
      <w:i/>
      <w:iCs/>
      <w:sz w:val="28"/>
      <w:szCs w:val="28"/>
      <w:highlight w:val="whit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  <w:textAlignment w:val="baseline"/>
    </w:pPr>
    <w:rPr>
      <w:rFonts w:ascii="Courier New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overflowPunct w:val="0"/>
      <w:textAlignment w:val="baseline"/>
    </w:pPr>
    <w:rPr>
      <w:rFonts w:cs="Calibri"/>
      <w:b/>
      <w:bCs/>
      <w:color w:val="00000A"/>
      <w:sz w:val="22"/>
      <w:lang w:eastAsia="ru-RU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1320" w:line="269" w:lineRule="exact"/>
      <w:ind w:hanging="1300"/>
      <w:jc w:val="right"/>
    </w:pPr>
    <w:rPr>
      <w:sz w:val="21"/>
      <w:szCs w:val="21"/>
      <w:highlight w:val="white"/>
    </w:rPr>
  </w:style>
  <w:style w:type="paragraph" w:customStyle="1" w:styleId="21">
    <w:name w:val="Основной текст 2 Знак1"/>
    <w:basedOn w:val="a"/>
    <w:qFormat/>
    <w:pPr>
      <w:shd w:val="clear" w:color="auto" w:fill="FFFFFF"/>
      <w:spacing w:after="360" w:line="240" w:lineRule="atLeast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customStyle="1" w:styleId="10">
    <w:name w:val="Основной текст1"/>
    <w:basedOn w:val="a"/>
    <w:qFormat/>
    <w:pPr>
      <w:shd w:val="clear" w:color="auto" w:fill="FFFFFF"/>
      <w:spacing w:before="240" w:after="900" w:line="240" w:lineRule="atLeast"/>
      <w:ind w:hanging="520"/>
      <w:jc w:val="center"/>
    </w:pPr>
    <w:rPr>
      <w:highlight w:val="white"/>
    </w:rPr>
  </w:style>
  <w:style w:type="paragraph" w:customStyle="1" w:styleId="ab">
    <w:name w:val="Таблицы (моноширинный)"/>
    <w:basedOn w:val="a"/>
    <w:qFormat/>
    <w:pPr>
      <w:jc w:val="both"/>
    </w:pPr>
    <w:rPr>
      <w:rFonts w:ascii="Courier New" w:hAnsi="Courier New" w:cs="Courier New"/>
      <w:sz w:val="24"/>
      <w:szCs w:val="24"/>
    </w:rPr>
  </w:style>
  <w:style w:type="paragraph" w:styleId="ac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overflowPunct w:val="0"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22">
    <w:name w:val="Body Text 2"/>
    <w:basedOn w:val="a"/>
    <w:qFormat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qFormat/>
    <w:pPr>
      <w:spacing w:before="280" w:after="119"/>
    </w:pPr>
    <w:rPr>
      <w:rFonts w:ascii="Times New Roman" w:hAnsi="Times New Roman"/>
      <w:sz w:val="24"/>
      <w:szCs w:val="24"/>
    </w:rPr>
  </w:style>
  <w:style w:type="paragraph" w:styleId="af0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  <w:overflowPunct w:val="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180" w:after="600" w:line="322" w:lineRule="exact"/>
      <w:jc w:val="center"/>
      <w:textAlignment w:val="auto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dc:description/>
  <cp:lastModifiedBy>Семёнова Лариса</cp:lastModifiedBy>
  <cp:revision>10</cp:revision>
  <cp:lastPrinted>2019-08-16T05:54:00Z</cp:lastPrinted>
  <dcterms:created xsi:type="dcterms:W3CDTF">2019-03-28T08:49:00Z</dcterms:created>
  <dcterms:modified xsi:type="dcterms:W3CDTF">2019-08-16T06:12:00Z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