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6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b w:val="false"/>
                <w:b w:val="false"/>
                <w:bCs w:val="false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Cs w:val="28"/>
              </w:rPr>
              <w:t>Приложение № 4</w:t>
            </w:r>
          </w:p>
          <w:p>
            <w:pPr>
              <w:pStyle w:val="21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21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от 05.04.2019  № 305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7824_348186571"/>
      <w:bookmarkEnd w:id="0"/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улиц и территорий, закрепленных за предприятиями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организациями Камышловского городского округа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681"/>
        <w:gridCol w:w="3704"/>
      </w:tblGrid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iCs/>
                <w:sz w:val="28"/>
                <w:szCs w:val="28"/>
              </w:rPr>
              <w:t>Закрепленные территории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iCs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iCs/>
                <w:sz w:val="28"/>
                <w:szCs w:val="28"/>
              </w:rPr>
              <w:t>«Камышловское профессиональное училище – интернат для инвалидов»»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у Покровского собора</w:t>
            </w:r>
          </w:p>
        </w:tc>
      </w:tr>
      <w:tr>
        <w:trPr>
          <w:trHeight w:val="981" w:hRule="atLeast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58»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Куйбышева, от ул. Гагарина до жилого дома по ул. Куйбышева, д.25-в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«Основная образовательная школа № 6»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Фарфористов где расположен памятник.</w:t>
            </w:r>
          </w:p>
        </w:tc>
      </w:tr>
      <w:tr>
        <w:trPr>
          <w:trHeight w:val="981" w:hRule="atLeast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Свердлова от ул. Гагарина до Центра культуры и досуга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«Детско-юношеская спортивная школа»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 xml:space="preserve">Сквер у спортзала по ул. Свердлова,92 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«Основная образовательная школа № 7»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Акционерное общество «Облкоммунэнерго»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Охранные зоны объектов электросетевого хозяйства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Дистанция пути Камышловское структурное подразделение Свердловская железная дорога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Санитарная зона ж/дороги в границах г. Камышлова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tabs>
                <w:tab w:val="clear" w:pos="708"/>
              </w:tabs>
              <w:ind w:left="-108" w:right="-12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государственное бюджетное профессиональное образовательное учреждение  Свердловской области «Камышловский педагогический колледж»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Маяковского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«Блиц»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ул. Свердлова – Маяковского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«Объединенные электротехнические заводы Открытое акционерное общество «ЭЛТЕЗА» филиал «Камышловский электротехнический завод»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ул. Фарфористов от перекидного пешеходного моста до проходной завода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2.12.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«Завод «Урализолятор»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ул. Фарфористов от территории завода до перекидного пешеходного моста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«Камышловский клеевой завод»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К. Маркса, Центральная площадь, аллея от ул. Ленина до дома № 56 по ул. К. Маркса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2.15.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ул. Свердлова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Лицей №5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Сквер по ул. Куйбышева от автовокзала до территории муниципальное учреждение культуры «Историко-краеведческий музей»</w:t>
            </w:r>
          </w:p>
        </w:tc>
      </w:tr>
    </w:tbl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_DdeLink__7824_3481865711"/>
      <w:bookmarkStart w:id="2" w:name="__DdeLink__7824_3481865711"/>
      <w:bookmarkEnd w:id="2"/>
    </w:p>
    <w:p>
      <w:pPr>
        <w:pStyle w:val="Style23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2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LibreOffice/6.1.4.2$Windows_X86_64 LibreOffice_project/9d0f32d1f0b509096fd65e0d4bec26ddd1938fd3</Application>
  <Pages>2</Pages>
  <Words>357</Words>
  <Characters>2798</Characters>
  <CharactersWithSpaces>3093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2019-04-02T10:16:00Z</dcterms:created>
  <dc:creator>Семёнова Лариса</dc:creator>
  <dc:description/>
  <dc:language>ru-RU</dc:language>
  <cp:lastModifiedBy/>
  <cp:lastPrinted>2019-04-05T11:30:18Z</cp:lastPrinted>
  <dcterms:modified xsi:type="dcterms:W3CDTF">2019-04-05T11:30:22Z</dcterms:modified>
  <cp:revision>7</cp:revision>
  <dc:subject/>
  <dc:title/>
</cp:coreProperties>
</file>