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20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>
          <w:rStyle w:val="Style20"/>
          <w:rFonts w:cs="Liberation Serif;Times New Roman" w:ascii="Liberation Serif;Times New Roman" w:hAnsi="Liberation Serif;Times New Roman"/>
        </w:rPr>
        <w:drawing>
          <wp:inline distT="0" distB="0" distL="0" distR="0">
            <wp:extent cx="483870" cy="7486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0" t="-718" r="-1110" b="-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33"/>
        <w:widowControl/>
        <w:suppressAutoHyphens w:val="true"/>
        <w:ind w:left="0" w:right="0" w:hanging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20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20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10</w:t>
      </w:r>
      <w:r>
        <w:rPr>
          <w:rStyle w:val="Style20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.02.2020  N </w:t>
      </w:r>
      <w:r>
        <w:rPr>
          <w:rStyle w:val="Style20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8</w:t>
      </w:r>
      <w:r>
        <w:rPr>
          <w:rStyle w:val="Style20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2</w:t>
      </w:r>
      <w:r>
        <w:rPr>
          <w:rStyle w:val="Style20"/>
          <w:rFonts w:cs="Liberation Serif;Times New Roman" w:ascii="Liberation Serif" w:hAnsi="Liberation Serif"/>
          <w:b/>
          <w:i/>
          <w:iCs/>
          <w:sz w:val="28"/>
          <w:szCs w:val="28"/>
        </w:rPr>
        <w:t xml:space="preserve">                                 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bookmarkStart w:id="0" w:name="__DdeLink__101781_2037742509"/>
      <w:r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</w:t>
      </w:r>
      <w:r>
        <w:rPr>
          <w:rFonts w:ascii="Liberation Serif" w:hAnsi="Liberation Serif"/>
          <w:b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2017-2024 годы</w:t>
      </w:r>
      <w:r>
        <w:rPr>
          <w:rFonts w:ascii="Liberation Serif" w:hAnsi="Liberation Serif"/>
          <w:b/>
          <w:sz w:val="28"/>
          <w:szCs w:val="28"/>
        </w:rPr>
        <w:t>», утвержденную постановлением главы Камышловского городского округа от 28.07.2017 года № 719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sz w:val="28"/>
          <w:szCs w:val="28"/>
        </w:rPr>
        <w:t>(с изменениями, внесенными постановлениями от 27.09.2017 № 887,</w:t>
      </w:r>
    </w:p>
    <w:p>
      <w:pPr>
        <w:pStyle w:val="Normal"/>
        <w:jc w:val="center"/>
        <w:rPr/>
      </w:pPr>
      <w:r>
        <w:rPr>
          <w:rFonts w:ascii="Liberation Serif" w:hAnsi="Liberation Serif"/>
          <w:b/>
          <w:sz w:val="28"/>
          <w:szCs w:val="28"/>
        </w:rPr>
        <w:t>от 29.11.2017 № 1102, от 15.12.2018 № 1153, от 30.03.2018 № 283,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12.10.2018 № 879, от 02.11.2018 № 941, от 28.01.2019 № 30, 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bookmarkStart w:id="1" w:name="__DdeLink__101781_2037742509"/>
      <w:bookmarkStart w:id="2" w:name="__DdeLink__4556_4021942814"/>
      <w:r>
        <w:rPr>
          <w:rFonts w:ascii="Liberation Serif" w:hAnsi="Liberation Serif"/>
          <w:b/>
          <w:sz w:val="28"/>
          <w:szCs w:val="28"/>
        </w:rPr>
        <w:t>от 28.03.2019 № 288, от 27.09.2019 № 835, от 16.01.2020 № 13)</w:t>
      </w:r>
      <w:bookmarkEnd w:id="1"/>
      <w:bookmarkEnd w:id="2"/>
    </w:p>
    <w:p>
      <w:pPr>
        <w:pStyle w:val="Normal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В </w:t>
      </w:r>
      <w:r>
        <w:rPr>
          <w:rStyle w:val="611pt"/>
          <w:rFonts w:eastAsia="Calibri" w:cs="Liberation Serif" w:ascii="Liberation Serif" w:hAnsi="Liberation Serif"/>
          <w:sz w:val="28"/>
          <w:szCs w:val="28"/>
        </w:rPr>
        <w:t>соответствии с Федеральн</w:t>
      </w:r>
      <w:r>
        <w:rPr>
          <w:rStyle w:val="611pt"/>
          <w:rFonts w:eastAsia="Sylfaen" w:cs="Liberation Serif" w:ascii="Liberation Serif" w:hAnsi="Liberation Serif"/>
          <w:sz w:val="28"/>
          <w:szCs w:val="28"/>
        </w:rPr>
        <w:t>ым</w:t>
      </w:r>
      <w:r>
        <w:rPr>
          <w:rStyle w:val="611pt"/>
          <w:rFonts w:eastAsia="Calibri" w:cs="Liberation Serif" w:ascii="Liberation Serif" w:hAnsi="Liberation Serif"/>
          <w:sz w:val="28"/>
          <w:szCs w:val="28"/>
        </w:rPr>
        <w:t xml:space="preserve"> законом </w:t>
      </w:r>
      <w:r>
        <w:rPr>
          <w:rFonts w:cs="Liberation Serif" w:ascii="Liberation Serif" w:hAnsi="Liberation Serif"/>
          <w:sz w:val="28"/>
          <w:szCs w:val="28"/>
        </w:rPr>
        <w:t xml:space="preserve">Российской Федерации </w:t>
      </w:r>
      <w:r>
        <w:rPr>
          <w:rStyle w:val="611pt"/>
          <w:rFonts w:eastAsia="Calibri" w:cs="Liberation Serif" w:ascii="Liberation Serif" w:hAnsi="Liberation Serif"/>
          <w:sz w:val="28"/>
          <w:szCs w:val="28"/>
        </w:rPr>
        <w:t>от 06.10.2003 г. № 131-ФЗ «Об общих принципах организации местного самоуправления в Российской Федерации», с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 и комфортным жильем и коммунальными услугами граждан Российской Федерации»</w:t>
      </w:r>
      <w:r>
        <w:rPr>
          <w:rFonts w:cs="Liberation Serif" w:ascii="Liberation Serif" w:hAnsi="Liberation Serif"/>
          <w:sz w:val="28"/>
          <w:szCs w:val="28"/>
        </w:rPr>
        <w:t>,</w:t>
      </w:r>
      <w:r>
        <w:rPr>
          <w:rStyle w:val="611pt"/>
          <w:rFonts w:eastAsia="Calibri" w:ascii="Liberation Serif" w:hAnsi="Liberation Serif"/>
          <w:sz w:val="28"/>
          <w:szCs w:val="28"/>
        </w:rPr>
        <w:t xml:space="preserve"> государственной программой Свердловской области «Формирование современной городской среды на территории Свердловской области на 2018-2022 годы, утвержденной постановлением  Правительства Свердловской области от 31.10.2017 № 805-ПП, протоколом заседания общественной муниципальной комиссии от 16.12.2019 № 47, и проведенным рейтинговым голосованием и общественным обсуждением по принятым предложениям, заинтересованных лиц и организаций, </w:t>
      </w:r>
      <w:r>
        <w:rPr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eastAsia="Calibri"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Normal"/>
        <w:ind w:firstLine="708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1. Внести изменения в муниципальную программу «</w:t>
      </w:r>
      <w:r>
        <w:rPr>
          <w:rFonts w:ascii="Liberation Serif" w:hAnsi="Liberation Serif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2017-2024 годы</w:t>
      </w:r>
      <w:r>
        <w:rPr>
          <w:rFonts w:ascii="Liberation Serif" w:hAnsi="Liberation Serif"/>
          <w:sz w:val="28"/>
          <w:szCs w:val="28"/>
        </w:rPr>
        <w:t>», утвержденную постановлением главы Камышловского городского округа от 28.07.2017 года № 719 (с изменениями, внесенными постановлением от 27.09.2017 № 887, от 29.11.2017 № 1102, от 15.12.2017 № 1153, от 30.03.2018 № 283, от 12.10.2018 № 879, от 02.11.2018 № 941, 28.01.2019 № 30, от 28.03.2019 № 288, от 27.09.2019 № 835, от 16.01.2020 № 13), изложив её в новой редакции (прилагается).</w:t>
      </w:r>
    </w:p>
    <w:p>
      <w:pPr>
        <w:pStyle w:val="Normal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информационно-коммуникационной сети </w:t>
      </w:r>
      <w:r>
        <w:rPr>
          <w:rStyle w:val="611pt"/>
          <w:rFonts w:eastAsia="Calibri"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Интернет</w:t>
      </w:r>
      <w:r>
        <w:rPr>
          <w:rStyle w:val="611pt"/>
          <w:rFonts w:eastAsia="Calibri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8"/>
        <w:jc w:val="center"/>
        <w:rPr/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     </w:t>
      </w:r>
      <w:r>
        <w:rPr>
          <w:rFonts w:cs="Liberation Serif" w:ascii="Liberation Serif" w:hAnsi="Liberation Serif"/>
          <w:sz w:val="28"/>
          <w:szCs w:val="28"/>
        </w:rPr>
        <w:t>Приложение</w:t>
      </w:r>
    </w:p>
    <w:p>
      <w:pPr>
        <w:pStyle w:val="Normal"/>
        <w:ind w:hanging="0"/>
        <w:jc w:val="center"/>
        <w:rPr/>
      </w:pPr>
      <w:r>
        <w:rPr>
          <w:rFonts w:cs="Liberation Serif" w:ascii="Liberation Serif" w:hAnsi="Liberation Serif"/>
          <w:sz w:val="28"/>
          <w:szCs w:val="28"/>
        </w:rPr>
        <w:t xml:space="preserve">                                                                     </w:t>
      </w:r>
      <w:r>
        <w:rPr>
          <w:rFonts w:cs="Liberation Serif" w:ascii="Liberation Serif" w:hAnsi="Liberation Serif"/>
          <w:sz w:val="28"/>
          <w:szCs w:val="28"/>
        </w:rPr>
        <w:t>к постановлению администрации</w:t>
      </w:r>
    </w:p>
    <w:p>
      <w:pPr>
        <w:pStyle w:val="Normal"/>
        <w:ind w:firstLine="4962"/>
        <w:jc w:val="center"/>
        <w:rPr/>
      </w:pPr>
      <w:r>
        <w:rPr>
          <w:rFonts w:cs="Liberation Serif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ind w:firstLine="4962"/>
        <w:jc w:val="center"/>
        <w:rPr/>
      </w:pPr>
      <w:r>
        <w:rPr>
          <w:rFonts w:cs="Liberation Serif" w:ascii="Liberation Serif" w:hAnsi="Liberation Serif"/>
          <w:sz w:val="28"/>
          <w:szCs w:val="28"/>
        </w:rPr>
        <w:t xml:space="preserve">от </w:t>
      </w:r>
      <w:r>
        <w:rPr>
          <w:rFonts w:eastAsia="Calibri" w:cs="Liberation Serif" w:ascii="Liberation Serif" w:hAnsi="Liberation Serif"/>
          <w:color w:val="auto"/>
          <w:kern w:val="0"/>
          <w:sz w:val="28"/>
          <w:szCs w:val="28"/>
          <w:lang w:val="ru-RU" w:eastAsia="en-US" w:bidi="ar-SA"/>
        </w:rPr>
        <w:t>10.02</w:t>
      </w:r>
      <w:r>
        <w:rPr>
          <w:rFonts w:cs="Liberation Serif" w:ascii="Liberation Serif" w:hAnsi="Liberation Serif"/>
          <w:sz w:val="28"/>
          <w:szCs w:val="28"/>
        </w:rPr>
        <w:t xml:space="preserve">.2020  № </w:t>
      </w:r>
      <w:r>
        <w:rPr>
          <w:rFonts w:eastAsia="Calibri" w:cs="Liberation Serif" w:ascii="Liberation Serif" w:hAnsi="Liberation Serif"/>
          <w:color w:val="auto"/>
          <w:kern w:val="0"/>
          <w:sz w:val="28"/>
          <w:szCs w:val="28"/>
          <w:lang w:val="ru-RU" w:eastAsia="en-US" w:bidi="ar-SA"/>
        </w:rPr>
        <w:t>82</w:t>
      </w:r>
    </w:p>
    <w:p>
      <w:pPr>
        <w:pStyle w:val="NoSpacing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>Муниципальная программа</w:t>
      </w:r>
    </w:p>
    <w:p>
      <w:pPr>
        <w:pStyle w:val="NoSpacing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2017-2024 годы»</w:t>
      </w:r>
    </w:p>
    <w:p>
      <w:pPr>
        <w:pStyle w:val="NoSpacing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>ПАСПОРТ</w:t>
      </w:r>
    </w:p>
    <w:p>
      <w:pPr>
        <w:pStyle w:val="NoSpacing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>Муниципальной программы</w:t>
      </w:r>
    </w:p>
    <w:p>
      <w:pPr>
        <w:pStyle w:val="NoSpacing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2017-2024 годы»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cs="Liberation Serif" w:ascii="Liberation Serif" w:hAnsi="Liberation Serif"/>
          <w:color w:val="FF0000"/>
          <w:sz w:val="28"/>
          <w:szCs w:val="28"/>
        </w:rPr>
      </w:r>
    </w:p>
    <w:tbl>
      <w:tblPr>
        <w:tblW w:w="9498" w:type="dxa"/>
        <w:jc w:val="left"/>
        <w:tblInd w:w="0" w:type="dxa"/>
        <w:tblCellMar>
          <w:top w:w="0" w:type="dxa"/>
          <w:left w:w="70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824"/>
        <w:gridCol w:w="4673"/>
      </w:tblGrid>
      <w:tr>
        <w:trPr>
          <w:trHeight w:val="800" w:hRule="atLeast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Ответственный исполнитель муниципальной программы                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jc w:val="both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>
        <w:trPr>
          <w:trHeight w:val="800" w:hRule="atLeast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Администрация Камышловского городского округа, уполномоченная организация МКУ «ЦОДА», подрядные организации, победители торгов (закупок).</w:t>
            </w:r>
          </w:p>
        </w:tc>
      </w:tr>
      <w:tr>
        <w:trPr>
          <w:trHeight w:val="800" w:hRule="atLeast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jc w:val="both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2017-2024 годы</w:t>
            </w:r>
          </w:p>
        </w:tc>
      </w:tr>
      <w:tr>
        <w:trPr>
          <w:trHeight w:val="800" w:hRule="atLeast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jc w:val="both"/>
              <w:rPr/>
            </w:pPr>
            <w:r>
              <w:rPr>
                <w:rFonts w:eastAsia="Calibri" w:cs="Liberation Serif" w:ascii="Liberation Serif" w:hAnsi="Liberation Serif"/>
                <w:sz w:val="28"/>
                <w:szCs w:val="28"/>
                <w:u w:val="single"/>
                <w:lang w:eastAsia="en-US"/>
              </w:rPr>
              <w:t>Цель программы</w:t>
            </w:r>
            <w:r>
              <w:rPr>
                <w:rFonts w:eastAsia="Calibri" w:cs="Liberation Serif" w:ascii="Liberation Serif" w:hAnsi="Liberation Serif"/>
                <w:sz w:val="28"/>
                <w:szCs w:val="28"/>
                <w:lang w:eastAsia="en-US"/>
              </w:rPr>
              <w:t>: Повышение качества и комфорта городской среды на территории Камышловского городского округа.</w:t>
            </w:r>
          </w:p>
          <w:p>
            <w:pPr>
              <w:pStyle w:val="ConsPlusCell"/>
              <w:jc w:val="both"/>
              <w:rPr/>
            </w:pPr>
            <w:r>
              <w:rPr>
                <w:rFonts w:eastAsia="Calibri" w:cs="Liberation Serif" w:ascii="Liberation Serif" w:hAnsi="Liberation Serif"/>
                <w:sz w:val="28"/>
                <w:szCs w:val="28"/>
                <w:u w:val="single"/>
                <w:lang w:eastAsia="en-US"/>
              </w:rPr>
              <w:t>Задачи программы</w:t>
            </w:r>
            <w:r>
              <w:rPr>
                <w:rFonts w:eastAsia="Calibri" w:cs="Liberation Serif" w:ascii="Liberation Serif" w:hAnsi="Liberation Serif"/>
                <w:sz w:val="28"/>
                <w:szCs w:val="28"/>
                <w:lang w:eastAsia="en-US"/>
              </w:rPr>
              <w:t xml:space="preserve">: </w:t>
            </w:r>
          </w:p>
          <w:p>
            <w:pPr>
              <w:pStyle w:val="ConsPlusCell"/>
              <w:jc w:val="both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повышение уровня благоустройства дворовых территорий Камышловского городского округа;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- повышение уровня благоустройства общественных территорий Камышловского городского округа;</w:t>
            </w:r>
          </w:p>
          <w:p>
            <w:pPr>
              <w:pStyle w:val="ConsPlusCell"/>
              <w:jc w:val="both"/>
              <w:rPr/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округа.</w:t>
            </w:r>
          </w:p>
          <w:p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800" w:hRule="atLeast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Перечень подпрограмм муниципальной программы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(при их наличии)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</w:tr>
      <w:tr>
        <w:trPr>
          <w:trHeight w:val="800" w:hRule="atLeast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Целевые индикаторы и  показатели муниципальной программы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jc w:val="both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-  количество благоустроенных дворовых территорий многоквартирных домов;</w:t>
            </w:r>
          </w:p>
          <w:p>
            <w:pPr>
              <w:pStyle w:val="ConsPlusCell"/>
              <w:jc w:val="both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- удовлетворенность жителей многоквартирных домов выполненными работами по благоустройству дворовых территорий;</w:t>
            </w:r>
          </w:p>
          <w:p>
            <w:pPr>
              <w:pStyle w:val="ConsPlusCell"/>
              <w:jc w:val="both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- количество благоустроенных общественных территорий;</w:t>
            </w:r>
          </w:p>
          <w:p>
            <w:pPr>
              <w:pStyle w:val="ConsPlusCell"/>
              <w:jc w:val="both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- удовлетворенность жителей выполненными работами по благоустройству общественных территорий;</w:t>
            </w:r>
          </w:p>
          <w:p>
            <w:pPr>
              <w:pStyle w:val="ConsPlusCell"/>
              <w:jc w:val="both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- доля удовлетворенных заявок о включении дворовой или общественной территории в муниципальную программу, поданных жителями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Камышловского городского округа</w:t>
            </w:r>
          </w:p>
        </w:tc>
      </w:tr>
      <w:tr>
        <w:trPr>
          <w:trHeight w:val="800" w:hRule="atLeast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Всего: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316 232 663,37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том числе: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2017 г - 0,00 </w:t>
              <w:br/>
              <w:t xml:space="preserve">2018 г – 19 889 207,79 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2019 г – 10 280 717,38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2020 г – 79 303 39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0,00 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г – 146 759 348,20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2022 г –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35 000 000,00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              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2023 г –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25 000 000,00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              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 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0,00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              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из них:  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федеральный бюджет:  </w:t>
            </w: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0,00 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             </w:t>
              <w:br/>
              <w:t>в том числе: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2017 г. - 0,00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2018 г –0,00 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2019 г – 0,00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2020 г – 0,00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2021 г – 0,00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0,00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0,00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0,00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               </w:t>
              <w:br/>
              <w:t xml:space="preserve">областной бюджет: </w:t>
            </w: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 xml:space="preserve">55 946 400,00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                    </w:t>
              <w:br/>
              <w:t>в том числе: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2017 г. - 0,00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2018 г –16 829 700,00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2019 г – 9 416 700,00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2020 г – 29 700 000,00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2021 г – 0,00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0,00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0,00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0,00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местный бюджет: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4 435 277,17</w:t>
            </w: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br/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в том числе: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2017 г - 0,00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2018 г –3 059 507,79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2019 г –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>864 017,38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2020 г –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403 800,00 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2021 г – 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107 952,00  </w:t>
            </w:r>
          </w:p>
          <w:p>
            <w:pPr>
              <w:pStyle w:val="ConsPlusCell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2022 г - 0,00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0,00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0,00</w:t>
            </w: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внебюджетные источники: </w:t>
            </w: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255 850 986,20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том числе: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2017 г - 0,00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2018 г –0,00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2019 г –0,00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2020 г – 49 199 590,00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2021 г – 146 651 396,20</w:t>
            </w:r>
          </w:p>
          <w:p>
            <w:pPr>
              <w:pStyle w:val="ConsPlusCell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>2022 г – 35 000 000,00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2023 г –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25 000 000,00</w:t>
            </w:r>
          </w:p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0,00</w:t>
            </w:r>
          </w:p>
        </w:tc>
      </w:tr>
      <w:tr>
        <w:trPr>
          <w:trHeight w:val="800" w:hRule="atLeast"/>
        </w:trPr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Ожидаемые результаты муниципальной программы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jc w:val="both"/>
              <w:rPr>
                <w:rFonts w:ascii="Liberation Serif" w:hAnsi="Liberation Serif" w:eastAsia="Calibri" w:cs="Liberation Serif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sz w:val="28"/>
                <w:szCs w:val="28"/>
                <w:lang w:eastAsia="en-US"/>
              </w:rPr>
              <w:t xml:space="preserve">Кардинальное повышение комфортности городской среды, повышение индекса качества городской среды на 30 процентов. Формирование единого облика Камышловского городского округа; </w:t>
            </w:r>
          </w:p>
          <w:p>
            <w:pPr>
              <w:pStyle w:val="ConsPlusCell"/>
              <w:jc w:val="both"/>
              <w:rPr/>
            </w:pPr>
            <w:r>
              <w:rPr>
                <w:rFonts w:eastAsia="Calibri" w:cs="Liberation Serif" w:ascii="Liberation Serif" w:hAnsi="Liberation Serif"/>
                <w:sz w:val="28"/>
                <w:szCs w:val="28"/>
                <w:lang w:eastAsia="en-US"/>
              </w:rPr>
              <w:t xml:space="preserve">Создание, содержание и развитие объектов благоустройства на территории Камышловского городского округа, включая объекты, находящиеся в частной собственности и прилегающие к ним территории.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Создание механизма прямого участия граждан в формирование комфортной городской среды</w:t>
            </w:r>
          </w:p>
          <w:p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4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http://gorod-kamyshlov.ru/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701" w:right="567" w:header="1134" w:top="1686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</w:pPr>
    </w:p>
    <w:p>
      <w:pPr>
        <w:pStyle w:val="NoSpacing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>Раздел 1. Характеристика и анализ текущего состояния</w:t>
      </w:r>
    </w:p>
    <w:p>
      <w:pPr>
        <w:pStyle w:val="NoSpacing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>благоустройства</w:t>
      </w:r>
    </w:p>
    <w:p>
      <w:pPr>
        <w:pStyle w:val="NoSpacing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Spacing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На территории Камышловского городского округа находятся                               1 241 многоквартирных домов, общей площадью 531,9 тыс. квадратных метров, более 130 дворов с имеющимися детскими игровыми площадками.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политики, осуществляемой в Камышловском городском округе.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 настоящее время детскими игровыми площадками оборудовано около 60 дворов, что составляет 21 процент от их общего количества дворовых территорий (по данным из ГИС ЖКХ - 289 дворовых территории).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Однако даже учтенные спортивные площадки и корты имеют разрушение покрытия и бортового камня в 75 процентах дворовых территорий, 89 процентов детских игровых площадок не имеют ограждений от внутриквартальных проездов, 70 процентов оборудованных и обустроенных дворовых территорий не отвечают требованиям и решениям современного комплексного благоустройства.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внутридворовых автостоянок, проездов к дворовым территориям многоквартирных домов.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Одной из причин не благоустроенности дворовых территорий является дефицит средств местного бюджета Камышловского городского округа, ежегодно выделяемых на новое строительство и содержание объектов внешнего благоустройства.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- от 10 до 35 метров).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1) требуют значительных бюджетных расходов и сроков реализации, превышающих один год;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3) носят комплексный характер.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Возрастающие требования жителей Камышловского городского округа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граждан, а именно: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- запустит реализацию механизма поддержки мероприятий по благоустройству, инициированных гражданами;</w:t>
      </w:r>
    </w:p>
    <w:p>
      <w:pPr>
        <w:pStyle w:val="NoSpacing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Камышловского городского округа. </w:t>
      </w:r>
    </w:p>
    <w:p>
      <w:pPr>
        <w:pStyle w:val="NoSpacing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Таким образом, приоритетом в сфере благоустройства является комплексный подход к реализации мероприятий по благоустройству, отвечающих современным требованиям, позволяющий создать современную городскую комфортную среду для проживания граждан, а также комфортное современное «общественное пространство». Перечень дворовых и общественных территорий, нуждающихся в благоустройстве, может утверждаться отдельным нормативно-правовым документом. </w:t>
      </w:r>
    </w:p>
    <w:p>
      <w:pPr>
        <w:pStyle w:val="NoSpacing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Адресный перечень общественных территорий, нуждающихся в благоустройстве и подлежащих благоустройству до 2024 года представлен в табл. 1.</w:t>
      </w:r>
    </w:p>
    <w:p>
      <w:pPr>
        <w:pStyle w:val="NoSpacing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Таблица 1</w:t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 w:cs="Liberation Serif"/>
          <w:b w:val="false"/>
          <w:b w:val="false"/>
          <w:i w:val="false"/>
          <w:i w:val="false"/>
          <w:color w:val="000000"/>
        </w:rPr>
      </w:pPr>
      <w:r>
        <w:rPr>
          <w:rFonts w:cs="Liberation Serif" w:ascii="Liberation Serif" w:hAnsi="Liberation Serif"/>
          <w:b w:val="false"/>
          <w:i w:val="false"/>
          <w:color w:val="000000"/>
        </w:rPr>
        <w:t>Адресный перечень общественных территорий,</w:t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 w:cs="Liberation Serif"/>
          <w:b w:val="false"/>
          <w:b w:val="false"/>
          <w:i w:val="false"/>
          <w:i w:val="false"/>
          <w:color w:val="000000"/>
        </w:rPr>
      </w:pPr>
      <w:r>
        <w:rPr>
          <w:rFonts w:cs="Liberation Serif" w:ascii="Liberation Serif" w:hAnsi="Liberation Serif"/>
          <w:b w:val="false"/>
          <w:i w:val="false"/>
          <w:color w:val="000000"/>
        </w:rPr>
        <w:t xml:space="preserve">нуждающихся в благоустройстве и подлежащих благоустройству до 2024 года </w:t>
      </w:r>
    </w:p>
    <w:p>
      <w:pPr>
        <w:pStyle w:val="Bodytext31"/>
        <w:shd w:val="clear" w:fill="FFFFFF"/>
        <w:spacing w:lineRule="auto" w:line="240" w:before="0" w:after="0"/>
        <w:ind w:right="23" w:hanging="0"/>
        <w:rPr/>
      </w:pPr>
      <w:r>
        <w:rPr>
          <w:rFonts w:cs="Liberation Serif" w:ascii="Liberation Serif" w:hAnsi="Liberation Serif"/>
          <w:color w:val="000000"/>
        </w:rPr>
        <w:t xml:space="preserve"> </w:t>
      </w:r>
    </w:p>
    <w:tbl>
      <w:tblPr>
        <w:tblW w:w="10065" w:type="dxa"/>
        <w:jc w:val="left"/>
        <w:tblInd w:w="-1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7"/>
        <w:gridCol w:w="2172"/>
        <w:gridCol w:w="6946"/>
      </w:tblGrid>
      <w:tr>
        <w:trPr/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№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Наименование общественной территории</w:t>
            </w:r>
          </w:p>
          <w:p>
            <w:pPr>
              <w:pStyle w:val="NormalWeb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Центральный городской сквер и площадь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 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центральный городской сквер и площадь по ул. К. Маркса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 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ул. Карла Маркса - ул. Энгельса (у Покровского собора)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ул. Свердлова (у администрации Камышловского ГО)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ул. Маяковского (у  полиции)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Аллея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ул. Маяковского - ул. Энгельса (возле педколледжа, Аллея Учителей)</w:t>
            </w:r>
          </w:p>
        </w:tc>
      </w:tr>
      <w:tr>
        <w:trPr>
          <w:trHeight w:val="357" w:hRule="atLeast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ул. Гагарина (от Сбербанка до ЦКиД)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Пешеходная часть улицы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улица Карла Маркса от ул. Урицкого до ул. Ленина</w:t>
            </w:r>
          </w:p>
        </w:tc>
      </w:tr>
      <w:tr>
        <w:trPr/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г. Камышлов, ул. Фарфористов  </w:t>
            </w:r>
          </w:p>
        </w:tc>
      </w:tr>
    </w:tbl>
    <w:p>
      <w:pPr>
        <w:pStyle w:val="NoSpacing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Адресный перечень дворовых территорий, нуждающихся в благоустройстве и </w:t>
      </w:r>
      <w:r>
        <w:rPr>
          <w:rFonts w:cs="Liberation Serif" w:ascii="Liberation Serif" w:hAnsi="Liberation Serif"/>
          <w:color w:val="000000"/>
          <w:sz w:val="28"/>
          <w:szCs w:val="28"/>
        </w:rPr>
        <w:t>подлежащих благоустройству</w:t>
      </w:r>
      <w:r>
        <w:rPr>
          <w:rFonts w:cs="Liberation Serif" w:ascii="Liberation Serif" w:hAnsi="Liberation Serif"/>
          <w:color w:val="000000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до 2024 года представлен в табл. 2.</w:t>
      </w:r>
    </w:p>
    <w:p>
      <w:pPr>
        <w:pStyle w:val="NoSpacing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Таблица 2</w:t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 w:cs="Liberation Serif"/>
          <w:b w:val="false"/>
          <w:b w:val="false"/>
          <w:i w:val="false"/>
          <w:i w:val="false"/>
          <w:color w:val="000000"/>
        </w:rPr>
      </w:pPr>
      <w:r>
        <w:rPr>
          <w:rFonts w:cs="Liberation Serif" w:ascii="Liberation Serif" w:hAnsi="Liberation Serif"/>
          <w:b w:val="false"/>
          <w:i w:val="false"/>
          <w:color w:val="000000"/>
        </w:rPr>
        <w:t>Адресный перечень дворовых территорий,</w:t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 w:cs="Liberation Serif"/>
          <w:b w:val="false"/>
          <w:b w:val="false"/>
          <w:i w:val="false"/>
          <w:i w:val="false"/>
          <w:color w:val="000000"/>
        </w:rPr>
      </w:pPr>
      <w:r>
        <w:rPr>
          <w:rFonts w:cs="Liberation Serif" w:ascii="Liberation Serif" w:hAnsi="Liberation Serif"/>
          <w:b w:val="false"/>
          <w:i w:val="false"/>
          <w:color w:val="000000"/>
        </w:rPr>
        <w:t xml:space="preserve">нуждающихся в благоустройстве и подлежащих благоустройству до 2024 года </w:t>
      </w:r>
    </w:p>
    <w:p>
      <w:pPr>
        <w:pStyle w:val="Bodytext31"/>
        <w:shd w:val="clear" w:fill="FFFFFF"/>
        <w:spacing w:lineRule="auto" w:line="240" w:before="0" w:after="0"/>
        <w:ind w:right="23" w:hanging="0"/>
        <w:rPr/>
      </w:pPr>
      <w:r>
        <w:rPr>
          <w:rFonts w:cs="Liberation Serif" w:ascii="Liberation Serif" w:hAnsi="Liberation Serif"/>
          <w:b w:val="false"/>
          <w:i w:val="false"/>
          <w:color w:val="000000"/>
        </w:rPr>
        <w:t xml:space="preserve"> </w:t>
      </w:r>
    </w:p>
    <w:tbl>
      <w:tblPr>
        <w:tblW w:w="10065" w:type="dxa"/>
        <w:jc w:val="left"/>
        <w:tblInd w:w="-1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8"/>
        <w:gridCol w:w="2746"/>
        <w:gridCol w:w="6381"/>
      </w:tblGrid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№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Наименование дворовой территории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>
        <w:trPr/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По ул. Загородная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 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г. Камышлов, ул. Загородная, дома № 20, 22, 24, </w:t>
            </w:r>
          </w:p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ул. Карловарская, дома № 2, 2а</w:t>
            </w:r>
          </w:p>
        </w:tc>
      </w:tr>
      <w:tr>
        <w:trPr/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По ул. Ленинградская, 27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ул. Ленинградская, дом № 27</w:t>
            </w:r>
          </w:p>
        </w:tc>
      </w:tr>
      <w:tr>
        <w:trPr/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По ул. Энгельса, 166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Г. Камышлов, ул. Энгельса, дом № 166</w:t>
            </w:r>
          </w:p>
        </w:tc>
      </w:tr>
    </w:tbl>
    <w:p>
      <w:pPr>
        <w:pStyle w:val="NoSpacing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табл. 3.</w:t>
      </w:r>
    </w:p>
    <w:p>
      <w:pPr>
        <w:pStyle w:val="NoSpacing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Таблица 3</w:t>
      </w:r>
    </w:p>
    <w:p>
      <w:pPr>
        <w:pStyle w:val="Bodytext31"/>
        <w:shd w:val="clear" w:fill="FFFFFF"/>
        <w:spacing w:lineRule="auto" w:line="240" w:before="0" w:after="0"/>
        <w:ind w:right="23" w:hanging="0"/>
        <w:rPr>
          <w:rFonts w:ascii="Liberation Serif" w:hAnsi="Liberation Serif" w:cs="Liberation Serif"/>
          <w:b w:val="false"/>
          <w:b w:val="false"/>
          <w:i w:val="false"/>
          <w:i w:val="false"/>
          <w:color w:val="000000"/>
        </w:rPr>
      </w:pPr>
      <w:r>
        <w:rPr>
          <w:rFonts w:cs="Liberation Serif" w:ascii="Liberation Serif" w:hAnsi="Liberation Serif"/>
          <w:b w:val="false"/>
          <w:i w:val="false"/>
          <w:color w:val="000000"/>
        </w:rPr>
        <w:t xml:space="preserve">Адресный перечень </w:t>
      </w:r>
      <w:r>
        <w:rPr>
          <w:rFonts w:cs="Liberation Serif" w:ascii="Liberation Serif" w:hAnsi="Liberation Serif"/>
          <w:b w:val="false"/>
          <w:i w:val="false"/>
        </w:rPr>
        <w:t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>
        <w:rPr>
          <w:rFonts w:cs="Liberation Serif" w:ascii="Liberation Serif" w:hAnsi="Liberation Serif"/>
          <w:b w:val="false"/>
          <w:i w:val="false"/>
          <w:color w:val="000000"/>
        </w:rPr>
        <w:t xml:space="preserve"> </w:t>
      </w:r>
    </w:p>
    <w:p>
      <w:pPr>
        <w:pStyle w:val="Bodytext31"/>
        <w:shd w:val="clear" w:fill="FFFFFF"/>
        <w:spacing w:lineRule="auto" w:line="240" w:before="0" w:after="0"/>
        <w:ind w:right="23" w:hanging="0"/>
        <w:rPr/>
      </w:pPr>
      <w:r>
        <w:rPr>
          <w:rFonts w:cs="Liberation Serif" w:ascii="Liberation Serif" w:hAnsi="Liberation Serif"/>
          <w:b w:val="false"/>
          <w:i w:val="false"/>
          <w:color w:val="000000"/>
        </w:rPr>
        <w:t xml:space="preserve"> </w:t>
      </w:r>
    </w:p>
    <w:tbl>
      <w:tblPr>
        <w:tblW w:w="10065" w:type="dxa"/>
        <w:jc w:val="left"/>
        <w:tblInd w:w="-15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8"/>
        <w:gridCol w:w="2746"/>
        <w:gridCol w:w="6381"/>
      </w:tblGrid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№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недвижимого имущества и земельного участка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Здание и земельный участок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Свердловская область, г. Камышлов, ул. Карла Маркса, дом № 42 «а»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Здание и земельный участок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Свердловская область, г. Камышлов, ул. Карла Маркса, дом № 28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Здание  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Свердловская область, г. Камышлов, ул. Карла Маркса, дом № 40 «а»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Здание  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Свердловская область, г. Камышлов, ул. Карла Маркса, дом № 39 «б»</w:t>
            </w:r>
          </w:p>
        </w:tc>
      </w:tr>
    </w:tbl>
    <w:p>
      <w:pPr>
        <w:pStyle w:val="NoSpacing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Spacing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Spacing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>Раздел 2. Цели и задачи муниципальной программы, целевые показатели реализации муниципальной программы</w:t>
      </w:r>
    </w:p>
    <w:p>
      <w:pPr>
        <w:pStyle w:val="NoSpacing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Целью программы является создание условий для повышения уровня комфортности проживания населения на территории Камышловского городского округа.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Задачи, направленные на решение основной цели программы: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- повышение уровня благоустройства дворовых территорий Камышловского городского округа;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- повышение уровня благоустройства общественных территорий (в том числе, центрального городского сквера по ул. К. Маркса, сквера по ул. Маяковского - ул. Энгельса (возле педколледжа), сквера по ул. Гагарина в сторону ЦКиД, пешеходной улицы Карла Маркса от ул. Урицкого до ул. Ленина) Камышловского городского округа;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округа;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- создание доступной для инвалидов городской среды: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- оптимальное для инвалидов размещение и оборудование остановок общественного транспорта;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- 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(подъемниками и эскалаторами);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- оборудование доступных для инвалидов мест отдыха в скверах, садах, парках местного значения и лесопарках;</w:t>
      </w:r>
    </w:p>
    <w:p>
      <w:pPr>
        <w:pStyle w:val="NoSpacing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         </w:t>
      </w:r>
      <w:r>
        <w:rPr>
          <w:rFonts w:cs="Liberation Serif" w:ascii="Liberation Serif" w:hAnsi="Liberation Serif"/>
          <w:sz w:val="28"/>
          <w:szCs w:val="28"/>
        </w:rPr>
        <w:t>- увеличение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>
      <w:pPr>
        <w:pStyle w:val="NoSpacing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         </w:t>
      </w:r>
      <w:r>
        <w:rPr>
          <w:rFonts w:cs="Liberation Serif" w:ascii="Liberation Serif" w:hAnsi="Liberation Serif"/>
          <w:sz w:val="28"/>
          <w:szCs w:val="28"/>
        </w:rPr>
        <w:t>- обеспечение возможностей для тифлокомментирования и субтитрирования зрелищных мероприятий, проводимых на открытых эстрадах, в «зеленых театрах»;</w:t>
      </w:r>
    </w:p>
    <w:p>
      <w:pPr>
        <w:pStyle w:val="NoSpacing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 xml:space="preserve">          </w:t>
      </w:r>
      <w:r>
        <w:rPr>
          <w:rFonts w:cs="Liberation Serif" w:ascii="Liberation Serif" w:hAnsi="Liberation Serif"/>
          <w:sz w:val="28"/>
          <w:szCs w:val="28"/>
        </w:rPr>
        <w:t>- устройство удобных и безопасных для инвалидов подходов к воде, приспособленных пирсов, адаптированных участков на пляжах.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Цели, задачи и целевые показатели реализации программы «Формирование современной городской среды на территории   Камышловского городского округа на 2017-2024 годы» приведены в Приложении № 1 к настоящей Программе.</w:t>
      </w:r>
    </w:p>
    <w:p>
      <w:pPr>
        <w:pStyle w:val="NoSpacing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>
      <w:pPr>
        <w:pStyle w:val="NoSpacing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План мероприятий по выполнению Программы «Формирование современной городской среды на территории   Камышловского городского округа на 2017-2024 годы» приведены в Приложении № 2 к настоящей Программе.</w:t>
      </w:r>
    </w:p>
    <w:p>
      <w:pPr>
        <w:pStyle w:val="NoSpacing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Liberation Serif" w:ascii="Liberation Serif" w:hAnsi="Liberation Serif"/>
          <w:b/>
          <w:sz w:val="28"/>
          <w:szCs w:val="28"/>
        </w:rPr>
        <w:t>Раздел 4. Эффективность муниципальной программы</w:t>
      </w:r>
    </w:p>
    <w:p>
      <w:pPr>
        <w:pStyle w:val="NoSpacing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Ответственный исполнитель программы: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1) Осуществляет полномочия главного распорядителя средств местного бюджета, предусмотренных на реализацию программы;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2) 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3) 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финансовых средств, выделяемых на их реализацию;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4) 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5) Организует инвентаризацию общественных и дворовых территорий, нуждающихся в благоустройстве;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6) Принимает участие в организации общественных обсуждений проектов благоустройства общественных и дворовых территорий;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7)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программу;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8) Организует проведение конкурсных процедур по отбору исполнителей контрактов.</w:t>
      </w:r>
    </w:p>
    <w:p>
      <w:p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Реализация мероприятий программы осуществляется в рамках текущего финансирования, за счет средств федерального бюджета, областного бюджета, бюджета Камышловского городского округа.</w:t>
      </w:r>
    </w:p>
    <w:p>
      <w:pPr>
        <w:sectPr>
          <w:headerReference w:type="default" r:id="rId4"/>
          <w:type w:val="nextPage"/>
          <w:pgSz w:w="11906" w:h="16838"/>
          <w:pgMar w:left="1418" w:right="851" w:header="1134" w:top="1686" w:footer="0" w:bottom="709" w:gutter="0"/>
          <w:pgNumType w:fmt="decimal"/>
          <w:formProt w:val="false"/>
          <w:textDirection w:val="lrTb"/>
          <w:docGrid w:type="default" w:linePitch="600" w:charSpace="36864"/>
        </w:sectPr>
        <w:pStyle w:val="NoSpacing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tbl>
      <w:tblPr>
        <w:tblW w:w="14657" w:type="dxa"/>
        <w:jc w:val="left"/>
        <w:tblInd w:w="-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4"/>
        <w:gridCol w:w="2483"/>
        <w:gridCol w:w="1247"/>
        <w:gridCol w:w="875"/>
        <w:gridCol w:w="897"/>
        <w:gridCol w:w="913"/>
        <w:gridCol w:w="740"/>
        <w:gridCol w:w="184"/>
        <w:gridCol w:w="999"/>
        <w:gridCol w:w="476"/>
        <w:gridCol w:w="459"/>
        <w:gridCol w:w="1344"/>
        <w:gridCol w:w="1435"/>
        <w:gridCol w:w="1760"/>
      </w:tblGrid>
      <w:tr>
        <w:trPr>
          <w:trHeight w:val="1470" w:hRule="atLeast"/>
        </w:trPr>
        <w:tc>
          <w:tcPr>
            <w:tcW w:w="844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2483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247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875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897" w:type="dxa"/>
            <w:tcBorders/>
            <w:shd w:color="auto" w:fill="auto" w:val="clear"/>
            <w:vAlign w:val="bottom"/>
          </w:tcPr>
          <w:p>
            <w:pPr>
              <w:pStyle w:val="Normal"/>
              <w:spacing w:before="0" w:after="20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</w:r>
          </w:p>
        </w:tc>
        <w:tc>
          <w:tcPr>
            <w:tcW w:w="1653" w:type="dxa"/>
            <w:gridSpan w:val="2"/>
            <w:tcBorders/>
            <w:shd w:color="auto" w:fill="auto" w:val="clear"/>
          </w:tcPr>
          <w:p>
            <w:pPr>
              <w:pStyle w:val="NoSpacing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659" w:type="dxa"/>
            <w:gridSpan w:val="3"/>
            <w:tcBorders/>
            <w:shd w:color="auto" w:fill="auto" w:val="clear"/>
          </w:tcPr>
          <w:p>
            <w:pPr>
              <w:pStyle w:val="NoSpacing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998" w:type="dxa"/>
            <w:gridSpan w:val="4"/>
            <w:tcBorders/>
            <w:shd w:color="auto" w:fill="auto" w:val="clear"/>
          </w:tcPr>
          <w:p>
            <w:pPr>
              <w:pStyle w:val="NoSpacing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Приложение № 1</w:t>
            </w:r>
          </w:p>
          <w:p>
            <w:pPr>
              <w:pStyle w:val="NoSpacing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 муниципальной программе</w:t>
            </w:r>
          </w:p>
          <w:p>
            <w:pPr>
              <w:pStyle w:val="NoSpacing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«Формирование современной городской среды на</w:t>
            </w:r>
          </w:p>
          <w:p>
            <w:pPr>
              <w:pStyle w:val="NoSpacing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</w:t>
            </w:r>
            <w:r>
              <w:rPr>
                <w:rFonts w:cs="Liberation Serif" w:ascii="Liberation Serif" w:hAnsi="Liberation Serif"/>
              </w:rPr>
              <w:t>территории Камышловского городского округа</w:t>
            </w:r>
          </w:p>
          <w:p>
            <w:pPr>
              <w:pStyle w:val="NoSpacing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 2017-2024 годы»</w:t>
            </w:r>
          </w:p>
        </w:tc>
      </w:tr>
      <w:tr>
        <w:trPr>
          <w:trHeight w:val="525" w:hRule="atLeast"/>
        </w:trPr>
        <w:tc>
          <w:tcPr>
            <w:tcW w:w="14656" w:type="dxa"/>
            <w:gridSpan w:val="14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</w:rPr>
              <w:t>ЦЕЛИ, ЗАДАЧИ И ЦЕЛЕВЫЕ ПОКАЗАТЕЛИ</w:t>
            </w:r>
          </w:p>
        </w:tc>
      </w:tr>
      <w:tr>
        <w:trPr>
          <w:trHeight w:val="405" w:hRule="atLeast"/>
        </w:trPr>
        <w:tc>
          <w:tcPr>
            <w:tcW w:w="14656" w:type="dxa"/>
            <w:gridSpan w:val="14"/>
            <w:tcBorders/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реализации муниципальной программы "Формирование современной городской среды на территории </w:t>
            </w:r>
            <w:r>
              <w:rPr>
                <w:rFonts w:cs="Liberation Serif" w:ascii="Liberation Serif" w:hAnsi="Liberation Serif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>
        <w:trPr>
          <w:trHeight w:val="510" w:hRule="atLeast"/>
        </w:trPr>
        <w:tc>
          <w:tcPr>
            <w:tcW w:w="14656" w:type="dxa"/>
            <w:gridSpan w:val="14"/>
            <w:tcBorders>
              <w:top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на 2017-2024 годы"</w:t>
            </w:r>
          </w:p>
        </w:tc>
      </w:tr>
      <w:tr>
        <w:trPr>
          <w:trHeight w:val="390" w:hRule="atLeast"/>
        </w:trPr>
        <w:tc>
          <w:tcPr>
            <w:tcW w:w="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2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322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 </w:t>
            </w:r>
          </w:p>
        </w:tc>
        <w:tc>
          <w:tcPr>
            <w:tcW w:w="17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>
        <w:trPr>
          <w:trHeight w:val="255" w:hRule="atLeast"/>
        </w:trPr>
        <w:tc>
          <w:tcPr>
            <w:tcW w:w="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4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4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Муниципальная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программа Формирование современной городской среды на территории </w:t>
            </w:r>
            <w:r>
              <w:rPr>
                <w:rFonts w:cs="Liberation Serif" w:ascii="Liberation Serif" w:hAnsi="Liberation Serif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color="auto" w:fill="FFFFFF" w:val="clear"/>
          </w:tcPr>
          <w:p>
            <w:pPr>
              <w:pStyle w:val="ConsPlusCell"/>
              <w:jc w:val="both"/>
              <w:rPr/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Цель: </w:t>
            </w:r>
            <w:r>
              <w:rPr>
                <w:rFonts w:eastAsia="Calibri" w:cs="Liberation Serif" w:ascii="Liberation Serif" w:hAnsi="Liberation Serif"/>
                <w:b/>
                <w:lang w:eastAsia="en-US"/>
              </w:rPr>
              <w:t>повышение качества и комфорта городской среды на территории Камышловского городского округа.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Задача 1.1. Повышение уровня благоустройства дворовых территорий Камышловского городского округа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1.1.1.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u w:val="single"/>
              </w:rPr>
              <w:t>Целевой показатель 1</w:t>
            </w:r>
          </w:p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2 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Годовой бухгалтерский отчет ГРБС</w:t>
            </w:r>
          </w:p>
        </w:tc>
      </w:tr>
      <w:tr>
        <w:trPr>
          <w:trHeight w:val="127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1.1.2.</w:t>
            </w:r>
          </w:p>
        </w:tc>
        <w:tc>
          <w:tcPr>
            <w:tcW w:w="2483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u w:val="single"/>
              </w:rPr>
              <w:t>Целевой показатель 2</w:t>
            </w:r>
          </w:p>
          <w:p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Удовлетворенность жителей многоквартирных домов выполненными работами по благоустройству дворовых территорий.</w:t>
            </w:r>
          </w:p>
        </w:tc>
        <w:tc>
          <w:tcPr>
            <w:tcW w:w="1247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100 </w:t>
            </w:r>
          </w:p>
        </w:tc>
        <w:tc>
          <w:tcPr>
            <w:tcW w:w="93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100 </w:t>
            </w:r>
          </w:p>
        </w:tc>
        <w:tc>
          <w:tcPr>
            <w:tcW w:w="1344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left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Результаты опроса жителей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Задача 1.2. Повышение уровня благоустройства общественных территорий Камышловского городского округа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1.2.1.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u w:val="single"/>
              </w:rPr>
              <w:t>Целевой показатель 3</w:t>
            </w:r>
          </w:p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Ед.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 </w:t>
            </w:r>
            <w:r>
              <w:rPr>
                <w:rFonts w:cs="Liberation Serif" w:ascii="Liberation Serif" w:hAnsi="Liberation Serif"/>
                <w:sz w:val="20"/>
                <w:szCs w:val="20"/>
              </w:rPr>
              <w:t>Годовой бухгалтерский отчет ГРБС</w:t>
            </w:r>
          </w:p>
        </w:tc>
      </w:tr>
      <w:tr>
        <w:trPr>
          <w:trHeight w:val="127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1.2.2.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u w:val="single"/>
              </w:rPr>
              <w:t>Целевой показатель 4</w:t>
            </w:r>
          </w:p>
          <w:p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Удовлетворенность жителей выполненными работами по благоустройству общественных территорий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100 </w:t>
            </w:r>
          </w:p>
        </w:tc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Результаты опроса жителей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>
        <w:trPr>
          <w:trHeight w:val="103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1.3.1.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Cell"/>
              <w:rPr/>
            </w:pPr>
            <w:r>
              <w:rPr>
                <w:rFonts w:cs="Liberation Serif" w:ascii="Liberation Serif" w:hAnsi="Liberation Serif"/>
                <w:u w:val="single"/>
              </w:rPr>
              <w:t>Целевой показатель 5</w:t>
            </w:r>
          </w:p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pacing w:lineRule="auto" w:line="276" w:before="0" w:after="200"/>
              <w:rPr/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Результат включения дворовых и общественных пространств  в программу</w:t>
            </w:r>
          </w:p>
        </w:tc>
      </w:tr>
    </w:tbl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tbl>
      <w:tblPr>
        <w:tblW w:w="16146" w:type="dxa"/>
        <w:jc w:val="left"/>
        <w:tblInd w:w="18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4"/>
        <w:gridCol w:w="2496"/>
        <w:gridCol w:w="1542"/>
        <w:gridCol w:w="794"/>
        <w:gridCol w:w="1316"/>
        <w:gridCol w:w="1284"/>
        <w:gridCol w:w="1285"/>
        <w:gridCol w:w="1364"/>
        <w:gridCol w:w="1287"/>
        <w:gridCol w:w="1429"/>
        <w:gridCol w:w="946"/>
        <w:gridCol w:w="47"/>
        <w:gridCol w:w="1303"/>
        <w:gridCol w:w="189"/>
        <w:gridCol w:w="19"/>
      </w:tblGrid>
      <w:tr>
        <w:trPr>
          <w:trHeight w:val="1412" w:hRule="atLeast"/>
        </w:trPr>
        <w:tc>
          <w:tcPr>
            <w:tcW w:w="84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496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1542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794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1316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1284" w:type="dxa"/>
            <w:tcBorders/>
            <w:shd w:color="auto" w:fill="auto" w:val="clear"/>
          </w:tcPr>
          <w:p>
            <w:pPr>
              <w:pStyle w:val="NoSpacing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285" w:type="dxa"/>
            <w:tcBorders/>
            <w:shd w:color="auto" w:fill="auto" w:val="clear"/>
          </w:tcPr>
          <w:p>
            <w:pPr>
              <w:pStyle w:val="NoSpacing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6565" w:type="dxa"/>
            <w:gridSpan w:val="7"/>
            <w:tcBorders/>
            <w:shd w:color="auto" w:fill="auto" w:val="clear"/>
          </w:tcPr>
          <w:p>
            <w:pPr>
              <w:pStyle w:val="NoSpacing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Приложение № 2</w:t>
            </w:r>
          </w:p>
          <w:p>
            <w:pPr>
              <w:pStyle w:val="NoSpacing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к муниципальной программе</w:t>
            </w:r>
          </w:p>
          <w:p>
            <w:pPr>
              <w:pStyle w:val="NoSpacing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"Формирование современной городской среды на</w:t>
            </w:r>
          </w:p>
          <w:p>
            <w:pPr>
              <w:pStyle w:val="NoSpacing"/>
              <w:rPr/>
            </w:pPr>
            <w:r>
              <w:rPr>
                <w:rFonts w:cs="Liberation Serif" w:ascii="Liberation Serif" w:hAnsi="Liberation Serif"/>
              </w:rPr>
              <w:t xml:space="preserve">Территории </w:t>
            </w:r>
            <w:r>
              <w:rPr>
                <w:rFonts w:cs="Liberation Serif" w:ascii="Liberation Serif" w:hAnsi="Liberation Serif"/>
                <w:color w:val="000000"/>
              </w:rPr>
              <w:t>Камышловского городского округа</w:t>
            </w:r>
          </w:p>
          <w:p>
            <w:pPr>
              <w:pStyle w:val="NoSpacing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на 2017-2024 годы»</w:t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6145" w:type="dxa"/>
            <w:gridSpan w:val="15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</w:rPr>
              <w:t>ПЛАН МЕРОПРИЯТИЙ</w:t>
            </w:r>
          </w:p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</w:rPr>
              <w:t xml:space="preserve">по выполнению муниципальной программы «Формирование современной городской среды на территории </w:t>
            </w:r>
            <w:r>
              <w:rPr>
                <w:rFonts w:cs="Liberation Serif" w:ascii="Liberation Serif" w:hAnsi="Liberation Serif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>
        <w:trPr>
          <w:trHeight w:val="265" w:hRule="atLeast"/>
        </w:trPr>
        <w:tc>
          <w:tcPr>
            <w:tcW w:w="16145" w:type="dxa"/>
            <w:gridSpan w:val="15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</w:rPr>
              <w:t>на 2017-2024годы»</w:t>
            </w:r>
          </w:p>
        </w:tc>
      </w:tr>
      <w:tr>
        <w:trPr>
          <w:trHeight w:val="255" w:hRule="atLeast"/>
        </w:trPr>
        <w:tc>
          <w:tcPr>
            <w:tcW w:w="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294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76" w:leader="none"/>
              </w:tabs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sz w:val="18"/>
                <w:szCs w:val="18"/>
              </w:rPr>
              <w:t>Номера целевых показателей, на достижение которых направлены мероприятия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8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316 232 663,37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19 889 207,79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10 280 717,38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79 303 390,00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146 759 348,20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35 000 000,00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55 946 400,00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16 829 700,00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9 416 700,00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29 700 000,00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4 435 277,17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3 059 507,79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864 017,38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403 800,00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107 952,00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255 850 986,20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49 199 590,00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146 651 396,20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35 000 000,00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316 232 663,37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19 889 207,79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10 280 717,38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79 303 390,00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146 759 348,20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35 000 000,00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55 946 400,00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16 829 700,00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9 416 700,00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29 700 000,00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4 435 277,17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3 059 507,79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864 017,38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403 800,00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107 952,00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255 850 986,20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49 199 590,00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146 651 396,20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35 000 000,00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Мероприятие 1.1. Благоустройство дворовых территорий многоквартирных домов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41 301 161,76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1 960 333,72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272 408,04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24 199 590,00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4 868 830,00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2 232 741,76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1 960 333,72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272 408,04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39 068 420,00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24 199 590,00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4 868 830,00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В том числе Благоустройство территории многоквартирных домов по ул. Загородная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26 159 923,72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1 960 333,72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24 199 590,00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1 960 333,72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1 960 333,72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24 199 590,00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24 199 590,00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В том числе Благоустройство территории многоквартирного дома по ул. Советская, 103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272 408,04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272 408,04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272 408,04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272 408,04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В том числе Комплексное благоустройство территории многоквартирного дома по ул. Ленинградская, 27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4 868 830,00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4 868 830,00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4 868 830,00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4 868 830,00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В том числе Комплексное благоустройство территории многоквартирного дома по ул. Энгельса, 166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Мероприятие 1.2. Благоустройство общественных территорий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274 519 749,61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17 828 874,07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9 908 309,34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55 000 000,00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141 782 566,20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55 946 400,00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16 829 700,00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9 416 700,00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29 700 000,00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1 790 783,41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999 174,07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491 609,34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216 782 566,20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141 782 566,20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27 362 803,07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17 828 874,07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9 533 929,00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26 246 400,00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16 829 700,00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9 416 700,00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1 116 403,07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999 174,07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117 229,00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В том числе  реконструкция центрального городского сквера и площади по улице Карла Маркса в городе Камышлов Свердловской области (без софинансирования)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374 380,34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374 380,34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374 380,34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374 380,34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В том числе комплексное благоустройство общественной территории по адресу: г. Камышлов, ул. Карла Маркса с названием проекта "Жемчужины купеческого квартала"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146 782 566,20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30 000 000,00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116 782 566,20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29 700 000,00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29 700 000,00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300 000,00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116 782 566,20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116 782 566,20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В том числе благоустройство сквера у Покровского собора в городе Камышлов Свердловской области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В том числе благоустройство сквера Войнам-интернационалистам по улице Свердлова в городе Камышлов Свердловской области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В том числе благоустройство сквера по ул. Маяковского - ул. Энгельса (возле педколледжа, Парк учителей) 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В том числе благоустройство сквера по ул. Гагарина (от сбербанка до ЦКиД)  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25 000 000,00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Мероприятие 1.3. Общепрограммные расходы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411 752,00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100 000,00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100 000,00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103 800,00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107 952,00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411 752,00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100 000,00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100 000,00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103 800,00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107 952,00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Cs/>
                <w:sz w:val="20"/>
                <w:szCs w:val="20"/>
              </w:rPr>
              <w:t>внебюджетные источники*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Cs/>
                <w:sz w:val="18"/>
                <w:szCs w:val="18"/>
              </w:rPr>
            </w:r>
          </w:p>
        </w:tc>
        <w:tc>
          <w:tcPr>
            <w:tcW w:w="1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</w:r>
          </w:p>
        </w:tc>
        <w:tc>
          <w:tcPr>
            <w:tcW w:w="18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onsPlusTitle"/>
        <w:widowControl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ConsPlusTitle"/>
        <w:widowControl/>
        <w:rPr/>
      </w:pPr>
      <w:r>
        <w:rPr>
          <w:rFonts w:cs="Liberation Serif" w:ascii="Liberation Serif" w:hAnsi="Liberation Serif"/>
          <w:b w:val="false"/>
          <w:sz w:val="24"/>
          <w:szCs w:val="24"/>
        </w:rPr>
        <w:t xml:space="preserve">    </w:t>
      </w:r>
      <w:r>
        <w:rPr>
          <w:rFonts w:cs="Liberation Serif" w:ascii="Liberation Serif" w:hAnsi="Liberation Serif"/>
          <w:b w:val="false"/>
          <w:sz w:val="24"/>
          <w:szCs w:val="24"/>
        </w:rPr>
        <w:t>* - в случае выделения денежных средств из областного и (или) местного бюджетов внебюджетный источник подлежит корректировке.</w:t>
      </w:r>
    </w:p>
    <w:p>
      <w:pPr>
        <w:pStyle w:val="Normal"/>
        <w:jc w:val="both"/>
        <w:rPr/>
      </w:pPr>
      <w:r>
        <w:rPr/>
      </w:r>
    </w:p>
    <w:sectPr>
      <w:headerReference w:type="default" r:id="rId5"/>
      <w:type w:val="nextPage"/>
      <w:pgSz w:orient="landscape" w:w="16838" w:h="11906"/>
      <w:pgMar w:left="568" w:right="284" w:header="1134" w:top="1701" w:footer="0" w:bottom="567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ylfae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F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1pt" w:customStyle="1">
    <w:name w:val="Основной текст (6) + 11 pt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6" w:customStyle="1">
    <w:name w:val="Основной текст (6)_"/>
    <w:qFormat/>
    <w:rPr>
      <w:sz w:val="21"/>
      <w:szCs w:val="21"/>
      <w:highlight w:val="white"/>
    </w:rPr>
  </w:style>
  <w:style w:type="character" w:styleId="2" w:customStyle="1">
    <w:name w:val="Основной текст (2)_"/>
    <w:qFormat/>
    <w:rPr>
      <w:rFonts w:ascii="Sylfaen" w:hAnsi="Sylfaen" w:eastAsia="Sylfaen" w:cs="Sylfaen"/>
      <w:spacing w:val="10"/>
      <w:sz w:val="21"/>
      <w:szCs w:val="21"/>
      <w:highlight w:val="white"/>
    </w:rPr>
  </w:style>
  <w:style w:type="character" w:styleId="2TimesNewRoman" w:customStyle="1">
    <w:name w:val="Основной текст (2) + Times New Roman"/>
    <w:qFormat/>
    <w:rPr>
      <w:rFonts w:ascii="Times New Roman" w:hAnsi="Times New Roman" w:eastAsia="Times New Roman" w:cs="Times New Roman"/>
      <w:i/>
      <w:iCs/>
      <w:spacing w:val="10"/>
      <w:sz w:val="25"/>
      <w:szCs w:val="25"/>
      <w:highlight w:val="white"/>
      <w:lang w:bidi="ar-SA"/>
    </w:rPr>
  </w:style>
  <w:style w:type="character" w:styleId="Style14" w:customStyle="1">
    <w:name w:val="Основной текст_"/>
    <w:qFormat/>
    <w:rPr>
      <w:highlight w:val="white"/>
    </w:rPr>
  </w:style>
  <w:style w:type="character" w:styleId="Style15" w:customStyle="1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tyle17" w:customStyle="1">
    <w:name w:val="Ниж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21" w:customStyle="1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sPlusNormal" w:customStyle="1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Bodytext3" w:customStyle="1">
    <w:name w:val="Body text (3)_"/>
    <w:basedOn w:val="DefaultParagraphFont"/>
    <w:qFormat/>
    <w:rPr>
      <w:b/>
      <w:bCs/>
      <w:i/>
      <w:iCs/>
      <w:sz w:val="28"/>
      <w:szCs w:val="28"/>
      <w:highlight w:val="white"/>
    </w:rPr>
  </w:style>
  <w:style w:type="character" w:styleId="Style18" w:customStyle="1">
    <w:name w:val="Основной текст Знак"/>
    <w:basedOn w:val="DefaultParagraphFont"/>
    <w:link w:val="a8"/>
    <w:qFormat/>
    <w:rsid w:val="00ba1447"/>
    <w:rPr>
      <w:sz w:val="22"/>
    </w:rPr>
  </w:style>
  <w:style w:type="character" w:styleId="1" w:customStyle="1">
    <w:name w:val="Текст выноски Знак1"/>
    <w:basedOn w:val="DefaultParagraphFont"/>
    <w:link w:val="ae"/>
    <w:qFormat/>
    <w:rsid w:val="00ba1447"/>
    <w:rPr>
      <w:rFonts w:ascii="Tahoma" w:hAnsi="Tahoma" w:eastAsia="Tahoma" w:cs="Tahoma"/>
      <w:sz w:val="16"/>
      <w:szCs w:val="16"/>
    </w:rPr>
  </w:style>
  <w:style w:type="character" w:styleId="11" w:customStyle="1">
    <w:name w:val="Верхний колонтитул Знак1"/>
    <w:basedOn w:val="DefaultParagraphFont"/>
    <w:link w:val="af"/>
    <w:qFormat/>
    <w:rsid w:val="00ba1447"/>
    <w:rPr>
      <w:sz w:val="22"/>
    </w:rPr>
  </w:style>
  <w:style w:type="character" w:styleId="12" w:customStyle="1">
    <w:name w:val="Нижний колонтитул Знак1"/>
    <w:basedOn w:val="DefaultParagraphFont"/>
    <w:link w:val="af0"/>
    <w:qFormat/>
    <w:rsid w:val="00ba1447"/>
    <w:rPr>
      <w:sz w:val="22"/>
    </w:rPr>
  </w:style>
  <w:style w:type="character" w:styleId="22" w:customStyle="1">
    <w:name w:val="Основной текст 2 Знак2"/>
    <w:basedOn w:val="DefaultParagraphFont"/>
    <w:link w:val="22"/>
    <w:qFormat/>
    <w:rsid w:val="00ba1447"/>
    <w:rPr>
      <w:rFonts w:ascii="Times New Roman" w:hAnsi="Times New Roman"/>
      <w:sz w:val="24"/>
      <w:szCs w:val="24"/>
    </w:rPr>
  </w:style>
  <w:style w:type="character" w:styleId="Style19">
    <w:name w:val="Интернет-ссылка"/>
    <w:basedOn w:val="DefaultParagraphFont"/>
    <w:uiPriority w:val="99"/>
    <w:semiHidden/>
    <w:unhideWhenUsed/>
    <w:rsid w:val="00e75aa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75aab"/>
    <w:rPr>
      <w:color w:val="954F72"/>
      <w:u w:val="single"/>
    </w:rPr>
  </w:style>
  <w:style w:type="character" w:styleId="Style20">
    <w:name w:val="Основной шрифт абзаца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2">
    <w:name w:val="Body Text"/>
    <w:basedOn w:val="Normal"/>
    <w:link w:val="a9"/>
    <w:pPr>
      <w:spacing w:before="0" w:after="14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Courier New" w:hAnsi="Courier New" w:eastAsia="Calibri" w:cs="Courier New"/>
      <w:color w:val="00000A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Calibri" w:hAnsi="Calibri" w:eastAsia="Calibri" w:cs="Calibri"/>
      <w:b/>
      <w:bCs/>
      <w:color w:val="00000A"/>
      <w:kern w:val="0"/>
      <w:sz w:val="22"/>
      <w:szCs w:val="22"/>
      <w:lang w:val="ru-RU" w:eastAsia="ru-RU" w:bidi="ar-SA"/>
    </w:rPr>
  </w:style>
  <w:style w:type="paragraph" w:styleId="61" w:customStyle="1">
    <w:name w:val="Основной текст (6)"/>
    <w:basedOn w:val="Normal"/>
    <w:qFormat/>
    <w:pPr>
      <w:shd w:val="clear" w:color="auto" w:fill="FFFFFF"/>
      <w:spacing w:lineRule="exact" w:line="269" w:before="0" w:after="1320"/>
      <w:ind w:hanging="1300"/>
      <w:jc w:val="right"/>
    </w:pPr>
    <w:rPr>
      <w:sz w:val="21"/>
      <w:szCs w:val="21"/>
      <w:highlight w:val="white"/>
    </w:rPr>
  </w:style>
  <w:style w:type="paragraph" w:styleId="211" w:customStyle="1">
    <w:name w:val="Основной текст 2 Знак1"/>
    <w:basedOn w:val="Normal"/>
    <w:qFormat/>
    <w:pPr>
      <w:shd w:val="clear" w:color="auto" w:fill="FFFFFF"/>
      <w:spacing w:lineRule="atLeast" w:line="240" w:before="0" w:after="360"/>
      <w:jc w:val="center"/>
    </w:pPr>
    <w:rPr>
      <w:rFonts w:ascii="Sylfaen" w:hAnsi="Sylfaen"/>
      <w:spacing w:val="10"/>
      <w:sz w:val="21"/>
      <w:szCs w:val="21"/>
      <w:highlight w:val="white"/>
    </w:rPr>
  </w:style>
  <w:style w:type="paragraph" w:styleId="13" w:customStyle="1">
    <w:name w:val="Основной текст1"/>
    <w:basedOn w:val="Normal"/>
    <w:qFormat/>
    <w:pPr>
      <w:shd w:val="clear" w:color="auto" w:fill="FFFFFF"/>
      <w:spacing w:lineRule="atLeast" w:line="240" w:before="240" w:after="900"/>
      <w:ind w:hanging="520"/>
      <w:jc w:val="center"/>
    </w:pPr>
    <w:rPr>
      <w:highlight w:val="white"/>
    </w:rPr>
  </w:style>
  <w:style w:type="paragraph" w:styleId="Style27" w:customStyle="1">
    <w:name w:val="Таблицы (моноширинный)"/>
    <w:basedOn w:val="Normal"/>
    <w:qFormat/>
    <w:pPr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10"/>
    <w:qFormat/>
    <w:pPr/>
    <w:rPr>
      <w:rFonts w:ascii="Tahoma" w:hAnsi="Tahoma" w:eastAsia="Tahoma" w:cs="Tahoma"/>
      <w:sz w:val="16"/>
      <w:szCs w:val="16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1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1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qFormat/>
    <w:pPr>
      <w:widowControl w:val="false"/>
      <w:suppressAutoHyphens w:val="true"/>
      <w:overflowPunct w:val="fals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BodyText2">
    <w:name w:val="Body Text 2"/>
    <w:basedOn w:val="Normal"/>
    <w:link w:val="220"/>
    <w:qFormat/>
    <w:pPr>
      <w:spacing w:lineRule="auto" w:line="480" w:before="0" w:after="12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qFormat/>
    <w:pPr>
      <w:spacing w:before="280" w:after="119"/>
    </w:pPr>
    <w:rPr>
      <w:rFonts w:ascii="Times New Roman" w:hAnsi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Style31" w:customStyle="1">
    <w:name w:val="Содержимое таблицы"/>
    <w:basedOn w:val="Normal"/>
    <w:qFormat/>
    <w:pPr>
      <w:suppressLineNumbers/>
    </w:pPr>
    <w:rPr/>
  </w:style>
  <w:style w:type="paragraph" w:styleId="Style32" w:customStyle="1">
    <w:name w:val="Заголовок таблицы"/>
    <w:basedOn w:val="Style31"/>
    <w:qFormat/>
    <w:pPr>
      <w:jc w:val="center"/>
    </w:pPr>
    <w:rPr>
      <w:b/>
      <w:bCs/>
    </w:rPr>
  </w:style>
  <w:style w:type="paragraph" w:styleId="Bodytext31" w:customStyle="1">
    <w:name w:val="Body text (3)"/>
    <w:basedOn w:val="Normal"/>
    <w:qFormat/>
    <w:pPr>
      <w:shd w:val="clear" w:color="auto" w:fill="FFFFFF"/>
      <w:spacing w:lineRule="exact" w:line="322" w:before="180" w:after="600"/>
      <w:jc w:val="center"/>
      <w:textAlignment w:val="auto"/>
    </w:pPr>
    <w:rPr>
      <w:b/>
      <w:bCs/>
      <w:i/>
      <w:iCs/>
      <w:sz w:val="28"/>
      <w:szCs w:val="28"/>
    </w:rPr>
  </w:style>
  <w:style w:type="paragraph" w:styleId="Msonormal" w:customStyle="1">
    <w:name w:val="msonormal"/>
    <w:basedOn w:val="Normal"/>
    <w:qFormat/>
    <w:rsid w:val="00e75aab"/>
    <w:pPr>
      <w:widowControl/>
      <w:suppressAutoHyphens w:val="false"/>
      <w:overflowPunct w:val="true"/>
      <w:spacing w:beforeAutospacing="1" w:afterAutospacing="1"/>
      <w:textAlignment w:val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3" w:customStyle="1">
    <w:name w:val="xl63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overflowPunct w:val="true"/>
      <w:spacing w:beforeAutospacing="1" w:afterAutospacing="1"/>
      <w:textAlignment w:val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4" w:customStyle="1">
    <w:name w:val="xl64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overflowPunct w:val="true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65" w:customStyle="1">
    <w:name w:val="xl65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overflowPunct w:val="true"/>
      <w:spacing w:beforeAutospacing="1" w:afterAutospacing="1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6" w:customStyle="1">
    <w:name w:val="xl66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overflowPunct w:val="true"/>
      <w:spacing w:beforeAutospacing="1" w:afterAutospacing="1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67" w:customStyle="1">
    <w:name w:val="xl67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overflowPunct w:val="tru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68" w:customStyle="1">
    <w:name w:val="xl68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overflowPunct w:val="true"/>
      <w:spacing w:beforeAutospacing="1" w:afterAutospacing="1"/>
      <w:textAlignment w:val="top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Xl69" w:customStyle="1">
    <w:name w:val="xl69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overflowPunct w:val="tru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0" w:customStyle="1">
    <w:name w:val="xl70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false"/>
      <w:overflowPunct w:val="tru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1" w:customStyle="1">
    <w:name w:val="xl71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overflowPunct w:val="tru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Xl72" w:customStyle="1">
    <w:name w:val="xl72"/>
    <w:basedOn w:val="Normal"/>
    <w:qFormat/>
    <w:rsid w:val="00e75aa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false"/>
      <w:overflowPunct w:val="true"/>
      <w:spacing w:beforeAutospacing="1" w:afterAutospacing="1"/>
      <w:jc w:val="right"/>
      <w:textAlignment w:val="top"/>
    </w:pPr>
    <w:rPr>
      <w:rFonts w:ascii="Times New Roman" w:hAnsi="Times New Roman" w:eastAsia="Times New Roman" w:cs="Times New Roman"/>
      <w:sz w:val="18"/>
      <w:szCs w:val="18"/>
      <w:lang w:eastAsia="ru-RU"/>
    </w:rPr>
  </w:style>
  <w:style w:type="paragraph" w:styleId="Style33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F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LibreOffice/6.3.4.2$Windows_X86_64 LibreOffice_project/60da17e045e08f1793c57c00ba83cdfce946d0aa</Application>
  <Pages>18</Pages>
  <Words>3922</Words>
  <Characters>24339</Characters>
  <CharactersWithSpaces>27746</CharactersWithSpaces>
  <Paragraphs>1323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2019-03-28T08:48:00Z</dcterms:created>
  <dc:creator>Семёнова Лариса</dc:creator>
  <dc:description/>
  <dc:language>ru-RU</dc:language>
  <cp:lastModifiedBy/>
  <cp:lastPrinted>2020-02-10T15:24:25Z</cp:lastPrinted>
  <dcterms:modified xsi:type="dcterms:W3CDTF">2020-02-10T15:24:43Z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