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spacing w:after="170" w:line="240" w:lineRule="auto"/>
        <w:ind/>
        <w:jc w:val="right"/>
        <w:rPr>
          <w:rFonts w:ascii="Times New Roman" w:hAnsi="Times New Roman"/>
          <w:color w:val="B3B3B3"/>
          <w:sz w:val="26"/>
        </w:rPr>
      </w:pPr>
      <w:r>
        <w:rPr>
          <w:rFonts w:ascii="Times New Roman" w:hAnsi="Times New Roman"/>
          <w:color w:val="B3B3B3"/>
          <w:sz w:val="26"/>
        </w:rPr>
        <w:t>П</w:t>
      </w:r>
      <w:r>
        <w:rPr>
          <w:rFonts w:ascii="Times New Roman" w:hAnsi="Times New Roman"/>
          <w:color w:val="B3B3B3"/>
          <w:sz w:val="26"/>
        </w:rPr>
        <w:t>РОЕКТ</w:t>
      </w:r>
    </w:p>
    <w:p w14:paraId="04000000">
      <w:pPr>
        <w:spacing w:after="170" w:line="240" w:lineRule="auto"/>
        <w:ind/>
        <w:jc w:val="center"/>
        <w:rPr>
          <w:rFonts w:ascii="Liberation Serif" w:hAnsi="Liberation Serif"/>
          <w:b w:val="1"/>
          <w:i w:val="1"/>
          <w:sz w:val="26"/>
        </w:rPr>
      </w:pPr>
      <w:r>
        <w:rPr>
          <w:rFonts w:ascii="Liberation Serif" w:hAnsi="Liberation Serif"/>
          <w:b w:val="1"/>
          <w:i w:val="1"/>
          <w:sz w:val="26"/>
        </w:rPr>
        <w:t xml:space="preserve">Об </w:t>
      </w:r>
      <w:r>
        <w:rPr>
          <w:rFonts w:ascii="Liberation Serif" w:hAnsi="Liberation Serif"/>
          <w:b w:val="1"/>
          <w:i w:val="1"/>
          <w:sz w:val="26"/>
        </w:rPr>
        <w:t>утверждении</w:t>
      </w:r>
      <w:r>
        <w:rPr>
          <w:rFonts w:ascii="Liberation Serif" w:hAnsi="Liberation Serif"/>
          <w:b w:val="1"/>
          <w:i w:val="1"/>
          <w:sz w:val="26"/>
        </w:rPr>
        <w:t xml:space="preserve"> перечня государственных и муниципальных услуг, предоставляемых </w:t>
      </w:r>
      <w:r>
        <w:rPr>
          <w:rFonts w:ascii="Liberation Serif" w:hAnsi="Liberation Serif"/>
          <w:b w:val="1"/>
          <w:i w:val="1"/>
          <w:sz w:val="26"/>
        </w:rPr>
        <w:t>через</w:t>
      </w:r>
      <w:r>
        <w:rPr>
          <w:rFonts w:ascii="Liberation Serif" w:hAnsi="Liberation Serif"/>
          <w:b w:val="1"/>
          <w:i w:val="1"/>
          <w:sz w:val="26"/>
        </w:rPr>
        <w:t xml:space="preserve"> </w:t>
      </w:r>
      <w:r>
        <w:rPr>
          <w:rFonts w:ascii="Liberation Serif" w:hAnsi="Liberation Serif"/>
          <w:b w:val="1"/>
          <w:i w:val="1"/>
          <w:sz w:val="26"/>
        </w:rPr>
        <w:t>«М</w:t>
      </w:r>
      <w:r>
        <w:rPr>
          <w:rFonts w:ascii="Liberation Serif" w:hAnsi="Liberation Serif"/>
          <w:b w:val="1"/>
          <w:i w:val="1"/>
          <w:sz w:val="26"/>
        </w:rPr>
        <w:t>ногофункциональн</w:t>
      </w:r>
      <w:r>
        <w:rPr>
          <w:rFonts w:ascii="Liberation Serif" w:hAnsi="Liberation Serif"/>
          <w:b w:val="1"/>
          <w:i w:val="1"/>
          <w:sz w:val="26"/>
        </w:rPr>
        <w:t>ый центр предоставления государственных и муниципальных услуг»</w:t>
      </w:r>
      <w:r>
        <w:rPr>
          <w:rFonts w:ascii="Liberation Serif" w:hAnsi="Liberation Serif"/>
          <w:b w:val="1"/>
          <w:i w:val="1"/>
          <w:sz w:val="26"/>
        </w:rPr>
        <w:t xml:space="preserve"> </w:t>
      </w:r>
      <w:r>
        <w:rPr>
          <w:rFonts w:ascii="Liberation Serif" w:hAnsi="Liberation Serif"/>
          <w:b w:val="1"/>
          <w:i w:val="1"/>
          <w:sz w:val="26"/>
        </w:rPr>
        <w:t xml:space="preserve">на территории </w:t>
      </w:r>
      <w:r>
        <w:rPr>
          <w:rFonts w:ascii="Liberation Serif" w:hAnsi="Liberation Serif"/>
          <w:b w:val="1"/>
          <w:i w:val="1"/>
          <w:sz w:val="26"/>
        </w:rPr>
        <w:t>Камышловского городского округа</w:t>
      </w:r>
    </w:p>
    <w:p w14:paraId="05000000">
      <w:pPr>
        <w:spacing w:after="0"/>
        <w:ind/>
        <w:jc w:val="center"/>
        <w:rPr>
          <w:rFonts w:ascii="Liberation Serif" w:hAnsi="Liberation Serif"/>
          <w:sz w:val="26"/>
        </w:rPr>
      </w:pPr>
    </w:p>
    <w:p w14:paraId="06000000">
      <w:pPr>
        <w:pStyle w:val="Style_1"/>
        <w:spacing w:after="120"/>
        <w:ind w:firstLine="629" w:right="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В соответствии с </w:t>
      </w:r>
      <w:r>
        <w:rPr>
          <w:rFonts w:ascii="Liberation Serif" w:hAnsi="Liberation Serif"/>
          <w:sz w:val="26"/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Liberation Serif" w:hAnsi="Liberation Serif"/>
          <w:sz w:val="26"/>
        </w:rPr>
        <w:t xml:space="preserve">, </w:t>
      </w:r>
      <w:r>
        <w:rPr>
          <w:rFonts w:ascii="Liberation Serif" w:hAnsi="Liberation Serif"/>
          <w:sz w:val="26"/>
        </w:rPr>
        <w:fldChar w:fldCharType="begin"/>
      </w:r>
      <w:r>
        <w:rPr>
          <w:rFonts w:ascii="Liberation Serif" w:hAnsi="Liberation Serif"/>
          <w:sz w:val="26"/>
        </w:rPr>
        <w:instrText>HYPERLINK "http://docs.cntd.ru/document/902228011"</w:instrText>
      </w:r>
      <w:r>
        <w:rPr>
          <w:rFonts w:ascii="Liberation Serif" w:hAnsi="Liberation Serif"/>
          <w:sz w:val="26"/>
        </w:rPr>
        <w:fldChar w:fldCharType="separate"/>
      </w:r>
      <w:r>
        <w:rPr>
          <w:rFonts w:ascii="Liberation Serif" w:hAnsi="Liberation Serif"/>
          <w:sz w:val="26"/>
        </w:rPr>
        <w:t>Федеральным законом от 27.07.2010 N 210-ФЗ "Об организации предоставления государственных и муниципальных услуг</w:t>
      </w:r>
      <w:r>
        <w:rPr>
          <w:rFonts w:ascii="Liberation Serif" w:hAnsi="Liberation Serif"/>
          <w:sz w:val="26"/>
        </w:rPr>
        <w:fldChar w:fldCharType="end"/>
      </w:r>
      <w:r>
        <w:rPr>
          <w:rFonts w:ascii="Liberation Serif" w:hAnsi="Liberation Serif"/>
          <w:sz w:val="26"/>
        </w:rPr>
        <w:t xml:space="preserve"> в целях реализации на территории Камышловского городского округа </w:t>
      </w:r>
      <w:r>
        <w:rPr>
          <w:rFonts w:ascii="Liberation Serif" w:hAnsi="Liberation Serif"/>
          <w:sz w:val="26"/>
        </w:rPr>
        <w:t>Указа Президента Российской</w:t>
      </w:r>
      <w:r>
        <w:rPr>
          <w:rFonts w:ascii="Liberation Serif" w:hAnsi="Liberation Serif"/>
          <w:sz w:val="26"/>
        </w:rPr>
        <w:t xml:space="preserve"> Федерации от 07 мая </w:t>
      </w:r>
      <w:r>
        <w:rPr>
          <w:rFonts w:ascii="Liberation Serif" w:hAnsi="Liberation Serif"/>
          <w:sz w:val="26"/>
        </w:rPr>
        <w:t>2012 года № 601 «Об основных направлениях совершенствования системы государственного управления»,</w:t>
      </w:r>
      <w:r>
        <w:rPr>
          <w:rFonts w:ascii="Liberation Serif" w:hAnsi="Liberation Serif"/>
          <w:sz w:val="26"/>
        </w:rPr>
        <w:t xml:space="preserve"> в соответствии с</w:t>
      </w:r>
      <w:r>
        <w:rPr>
          <w:rFonts w:ascii="Liberation Serif" w:hAnsi="Liberation Serif"/>
          <w:sz w:val="26"/>
        </w:rPr>
        <w:t xml:space="preserve"> типовым перечнем муниципальных услуг, предоставляемых по принципу «одного окна», утвержденным постановлением Правительства свердловской области от 25 сентября 2013 г.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</w:t>
      </w:r>
      <w:r>
        <w:rPr>
          <w:rFonts w:ascii="Liberation Serif" w:hAnsi="Liberation Serif"/>
          <w:sz w:val="26"/>
        </w:rPr>
        <w:t xml:space="preserve"> и муниципальных услуг»</w:t>
      </w:r>
      <w:r>
        <w:rPr>
          <w:rFonts w:ascii="Liberation Serif" w:hAnsi="Liberation Serif"/>
          <w:sz w:val="26"/>
        </w:rPr>
        <w:t>,</w:t>
      </w:r>
      <w:r>
        <w:rPr>
          <w:rFonts w:ascii="Liberation Serif" w:hAnsi="Liberation Serif"/>
          <w:sz w:val="26"/>
        </w:rPr>
        <w:t xml:space="preserve"> руководствуясь уставом Камышловского городского округа администрация Камышловского городского округа</w:t>
      </w:r>
    </w:p>
    <w:p w14:paraId="07000000">
      <w:pPr>
        <w:spacing w:after="120"/>
        <w:ind w:firstLine="709"/>
        <w:jc w:val="both"/>
        <w:rPr>
          <w:rFonts w:ascii="Liberation Serif" w:hAnsi="Liberation Serif"/>
          <w:b w:val="1"/>
          <w:sz w:val="26"/>
        </w:rPr>
      </w:pPr>
      <w:r>
        <w:rPr>
          <w:rFonts w:ascii="Liberation Serif" w:hAnsi="Liberation Serif"/>
          <w:b w:val="1"/>
          <w:sz w:val="26"/>
        </w:rPr>
        <w:t>ПОСТАНОВЛЯЕТ:</w:t>
      </w:r>
    </w:p>
    <w:p w14:paraId="08000000">
      <w:pPr>
        <w:pStyle w:val="Style_2"/>
        <w:numPr>
          <w:ilvl w:val="0"/>
          <w:numId w:val="1"/>
        </w:numPr>
        <w:spacing w:after="0"/>
        <w:ind w:firstLine="709" w:left="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Утвердить перечень муниципальных услуг,</w:t>
      </w:r>
      <w:r>
        <w:rPr>
          <w:rFonts w:ascii="Liberation Serif" w:hAnsi="Liberation Serif"/>
          <w:b w:val="1"/>
          <w:i w:val="1"/>
          <w:sz w:val="26"/>
        </w:rPr>
        <w:t xml:space="preserve"> </w:t>
      </w:r>
      <w:r>
        <w:rPr>
          <w:rFonts w:ascii="Liberation Serif" w:hAnsi="Liberation Serif"/>
          <w:sz w:val="26"/>
        </w:rPr>
        <w:t>предоставляемых через «Многофункциональный центр предоставления государственных и муниципальных услуг»</w:t>
      </w:r>
      <w:r>
        <w:rPr>
          <w:rFonts w:ascii="Liberation Serif" w:hAnsi="Liberation Serif"/>
          <w:sz w:val="26"/>
        </w:rPr>
        <w:t xml:space="preserve"> на территории Камышловского городского округа</w:t>
      </w:r>
      <w:r>
        <w:rPr>
          <w:rFonts w:ascii="Liberation Serif" w:hAnsi="Liberation Serif"/>
          <w:sz w:val="26"/>
        </w:rPr>
        <w:t xml:space="preserve"> в новой редакции (прилагается).</w:t>
      </w:r>
    </w:p>
    <w:p w14:paraId="09000000">
      <w:pPr>
        <w:pStyle w:val="Style_2"/>
        <w:numPr>
          <w:ilvl w:val="0"/>
          <w:numId w:val="1"/>
        </w:numPr>
        <w:spacing w:after="0"/>
        <w:ind w:firstLine="709" w:left="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Постановление главы Камышловского городского округа от </w:t>
      </w:r>
      <w:r>
        <w:rPr>
          <w:rFonts w:ascii="Liberation Serif" w:hAnsi="Liberation Serif"/>
          <w:sz w:val="26"/>
        </w:rPr>
        <w:t>12</w:t>
      </w:r>
      <w:r>
        <w:rPr>
          <w:rFonts w:ascii="Liberation Serif" w:hAnsi="Liberation Serif"/>
          <w:sz w:val="26"/>
        </w:rPr>
        <w:t>.0</w:t>
      </w:r>
      <w:r>
        <w:rPr>
          <w:rFonts w:ascii="Liberation Serif" w:hAnsi="Liberation Serif"/>
          <w:sz w:val="26"/>
        </w:rPr>
        <w:t>5</w:t>
      </w:r>
      <w:r>
        <w:rPr>
          <w:rFonts w:ascii="Liberation Serif" w:hAnsi="Liberation Serif"/>
          <w:sz w:val="26"/>
        </w:rPr>
        <w:t>.201</w:t>
      </w:r>
      <w:r>
        <w:rPr>
          <w:rFonts w:ascii="Liberation Serif" w:hAnsi="Liberation Serif"/>
          <w:sz w:val="26"/>
        </w:rPr>
        <w:t>7</w:t>
      </w:r>
      <w:r>
        <w:rPr>
          <w:rFonts w:ascii="Liberation Serif" w:hAnsi="Liberation Serif"/>
          <w:sz w:val="26"/>
        </w:rPr>
        <w:t xml:space="preserve"> г. № </w:t>
      </w:r>
      <w:r>
        <w:rPr>
          <w:rFonts w:ascii="Liberation Serif" w:hAnsi="Liberation Serif"/>
          <w:sz w:val="26"/>
        </w:rPr>
        <w:t>451</w:t>
      </w:r>
      <w:r>
        <w:rPr>
          <w:rFonts w:ascii="Liberation Serif" w:hAnsi="Liberation Serif"/>
          <w:sz w:val="26"/>
        </w:rPr>
        <w:t xml:space="preserve"> «Об утверждении перечня муниципальных услуг, предоставляемых через </w:t>
      </w:r>
      <w:r>
        <w:rPr>
          <w:rFonts w:ascii="Liberation Serif" w:hAnsi="Liberation Serif"/>
          <w:b w:val="0"/>
          <w:i w:val="0"/>
          <w:color w:val="000000"/>
          <w:sz w:val="26"/>
        </w:rPr>
        <w:t>«Многофункциональный центр предоставления государственных и муниципальных услуг» на территории Камышловского городского округа</w:t>
      </w:r>
      <w:r>
        <w:rPr>
          <w:rFonts w:ascii="Liberation Serif" w:hAnsi="Liberation Serif"/>
          <w:sz w:val="26"/>
        </w:rPr>
        <w:t xml:space="preserve"> признать утратившим силу.</w:t>
      </w:r>
    </w:p>
    <w:p w14:paraId="0A000000">
      <w:pPr>
        <w:pStyle w:val="Style_2"/>
        <w:numPr>
          <w:ilvl w:val="0"/>
          <w:numId w:val="1"/>
        </w:numPr>
        <w:spacing w:after="0"/>
        <w:ind w:firstLine="709" w:left="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</w:t>
      </w:r>
      <w:r>
        <w:rPr>
          <w:rFonts w:ascii="Liberation Serif" w:hAnsi="Liberation Serif"/>
          <w:sz w:val="26"/>
        </w:rPr>
        <w:t xml:space="preserve"> в информационно-телекоммуникационной сети «Интернет»</w:t>
      </w:r>
      <w:r>
        <w:rPr>
          <w:rFonts w:ascii="Liberation Serif" w:hAnsi="Liberation Serif"/>
          <w:sz w:val="26"/>
        </w:rPr>
        <w:t>.</w:t>
      </w:r>
    </w:p>
    <w:p w14:paraId="0B000000">
      <w:pPr>
        <w:pStyle w:val="Style_2"/>
        <w:numPr>
          <w:ilvl w:val="0"/>
          <w:numId w:val="1"/>
        </w:numPr>
        <w:spacing w:after="0"/>
        <w:ind w:firstLine="709" w:left="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Контроль за исполнением настоящего постановления возложить на заместителя главы администрации Камышловского городского округа </w:t>
      </w:r>
      <w:r>
        <w:rPr>
          <w:rFonts w:ascii="Liberation Serif" w:hAnsi="Liberation Serif"/>
          <w:sz w:val="26"/>
        </w:rPr>
        <w:t>Власову Елену</w:t>
      </w:r>
      <w:r>
        <w:rPr>
          <w:rFonts w:ascii="Liberation Serif" w:hAnsi="Liberation Serif"/>
          <w:sz w:val="26"/>
        </w:rPr>
        <w:t xml:space="preserve"> Николаевну</w:t>
      </w:r>
    </w:p>
    <w:p w14:paraId="0C000000">
      <w:pPr>
        <w:pStyle w:val="Style_2"/>
        <w:spacing w:after="0"/>
        <w:ind w:firstLine="0" w:left="0"/>
        <w:jc w:val="both"/>
        <w:rPr>
          <w:rFonts w:ascii="Liberation Serif" w:hAnsi="Liberation Serif"/>
          <w:sz w:val="26"/>
        </w:rPr>
      </w:pPr>
    </w:p>
    <w:p w14:paraId="0D000000">
      <w:pPr>
        <w:pStyle w:val="Style_2"/>
        <w:spacing w:after="0"/>
        <w:ind w:firstLine="0" w:left="0"/>
        <w:jc w:val="both"/>
        <w:rPr>
          <w:rFonts w:ascii="Liberation Serif" w:hAnsi="Liberation Serif"/>
          <w:sz w:val="26"/>
        </w:rPr>
      </w:pPr>
    </w:p>
    <w:p w14:paraId="0E000000">
      <w:pPr>
        <w:pStyle w:val="Style_2"/>
        <w:spacing w:after="0"/>
        <w:ind w:firstLine="0" w:left="0"/>
        <w:jc w:val="both"/>
        <w:rPr>
          <w:rFonts w:ascii="Liberation Serif" w:hAnsi="Liberation Serif"/>
          <w:sz w:val="26"/>
        </w:rPr>
      </w:pPr>
    </w:p>
    <w:p w14:paraId="0F000000">
      <w:pPr>
        <w:pStyle w:val="Style_2"/>
        <w:spacing w:after="0"/>
        <w:ind w:firstLine="0" w:left="0"/>
        <w:jc w:val="both"/>
        <w:rPr>
          <w:rFonts w:ascii="Liberation Serif" w:hAnsi="Liberation Serif"/>
          <w:sz w:val="26"/>
        </w:rPr>
      </w:pPr>
    </w:p>
    <w:p w14:paraId="10000000">
      <w:pPr>
        <w:pStyle w:val="Style_2"/>
        <w:spacing w:after="0"/>
        <w:ind w:firstLine="0" w:left="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Глава Камышловского городского округа                                   А.В. Половников</w:t>
      </w:r>
    </w:p>
    <w:p w14:paraId="11000000">
      <w:pPr>
        <w:sectPr>
          <w:headerReference r:id="rId2" w:type="default"/>
          <w:pgSz w:h="16838" w:w="11906"/>
          <w:pgMar w:bottom="1134" w:footer="709" w:gutter="0" w:header="709" w:left="1276" w:right="707" w:top="993"/>
          <w:pgNumType w:start="1"/>
          <w:titlePg/>
        </w:sectPr>
      </w:pPr>
    </w:p>
    <w:p w14:paraId="12000000">
      <w:pPr>
        <w:pStyle w:val="Style_2"/>
        <w:spacing w:after="0"/>
        <w:ind w:firstLine="0" w:left="10205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14:paraId="13000000">
      <w:pPr>
        <w:pStyle w:val="Style_2"/>
        <w:spacing w:after="0"/>
        <w:ind w:firstLine="0" w:left="10205" w:right="1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14000000">
      <w:pPr>
        <w:pStyle w:val="Style_2"/>
        <w:spacing w:after="0"/>
        <w:ind w:firstLine="0" w:left="10205" w:right="1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Камышловского городского округа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pStyle w:val="Style_2"/>
        <w:spacing w:after="0"/>
        <w:ind w:firstLine="0" w:left="10205" w:right="1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____________№______</w:t>
      </w:r>
    </w:p>
    <w:p w14:paraId="16000000">
      <w:pPr>
        <w:pStyle w:val="Style_2"/>
        <w:spacing w:afterAutospacing="on"/>
        <w:ind w:firstLine="0" w:left="0"/>
        <w:jc w:val="right"/>
        <w:rPr>
          <w:rFonts w:ascii="Times New Roman" w:hAnsi="Times New Roman"/>
          <w:sz w:val="26"/>
        </w:rPr>
      </w:pPr>
    </w:p>
    <w:p w14:paraId="17000000">
      <w:pPr>
        <w:pStyle w:val="Style_2"/>
        <w:spacing w:afterAutospacing="on"/>
        <w:ind w:firstLine="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Перечень государственных и муниципальных услуг, предоставляемых </w:t>
      </w:r>
      <w:r>
        <w:rPr>
          <w:rFonts w:ascii="Times New Roman" w:hAnsi="Times New Roman"/>
          <w:b w:val="1"/>
          <w:sz w:val="26"/>
        </w:rPr>
        <w:t>через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b w:val="1"/>
          <w:sz w:val="26"/>
        </w:rPr>
        <w:t xml:space="preserve"> на территории Камышловского городского округа</w:t>
      </w:r>
    </w:p>
    <w:tbl>
      <w:tblPr>
        <w:tblStyle w:val="Style_3"/>
        <w:tblInd w:type="dxa" w:w="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29"/>
        <w:gridCol w:w="9594"/>
        <w:gridCol w:w="4675"/>
      </w:tblGrid>
      <w:tr>
        <w:trPr>
          <w:trHeight w:hRule="atLeast" w:val="675"/>
        </w:trPr>
        <w:tc>
          <w:tcPr>
            <w:tcW w:type="dxa" w:w="729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sz w:val="28"/>
              </w:rPr>
            </w:pPr>
            <w:r>
              <w:rPr>
                <w:rFonts w:ascii="Liberation Serif" w:hAnsi="Liberation Serif"/>
                <w:b w:val="1"/>
                <w:sz w:val="28"/>
              </w:rPr>
              <w:t>№ п/п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sz w:val="28"/>
              </w:rPr>
            </w:pPr>
            <w:r>
              <w:rPr>
                <w:rFonts w:ascii="Liberation Serif" w:hAnsi="Liberation Serif"/>
                <w:b w:val="1"/>
                <w:sz w:val="28"/>
              </w:rPr>
              <w:t>Наименование услуги</w:t>
            </w:r>
          </w:p>
        </w:tc>
        <w:tc>
          <w:tcPr>
            <w:tcW w:type="dxa" w:w="467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sz w:val="28"/>
              </w:rPr>
            </w:pPr>
            <w:r>
              <w:rPr>
                <w:rFonts w:ascii="Liberation Serif" w:hAnsi="Liberation Serif"/>
                <w:b w:val="1"/>
                <w:sz w:val="28"/>
              </w:rPr>
              <w:t>Ответственный исполнитель</w:t>
            </w:r>
          </w:p>
        </w:tc>
      </w:tr>
      <w:tr>
        <w:trPr>
          <w:trHeight w:hRule="atLeast" w:val="315"/>
        </w:trPr>
        <w:tc>
          <w:tcPr>
            <w:tcW w:type="dxa" w:w="729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</w:t>
            </w:r>
          </w:p>
        </w:tc>
        <w:tc>
          <w:tcPr>
            <w:tcW w:type="dxa" w:w="467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</w:t>
            </w:r>
          </w:p>
        </w:tc>
      </w:tr>
      <w:tr>
        <w:trPr>
          <w:trHeight w:hRule="atLeast" w:val="280"/>
        </w:trPr>
        <w:tc>
          <w:tcPr>
            <w:tcW w:type="dxa" w:w="14998"/>
            <w:gridSpan w:val="3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sz w:val="28"/>
              </w:rPr>
            </w:pPr>
            <w:r>
              <w:rPr>
                <w:rFonts w:ascii="Liberation Serif" w:hAnsi="Liberation Serif"/>
                <w:b w:val="1"/>
                <w:sz w:val="28"/>
              </w:rPr>
              <w:t>Услуги в сфере образования</w:t>
            </w:r>
          </w:p>
        </w:tc>
      </w:tr>
      <w:tr>
        <w:trPr>
          <w:trHeight w:hRule="atLeast" w:val="58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numPr>
                <w:ilvl w:val="0"/>
                <w:numId w:val="2"/>
              </w:num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образованию, культуре, спорту и делам молодежи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1066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numPr>
                <w:ilvl w:val="0"/>
                <w:numId w:val="2"/>
              </w:num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type="dxa" w:w="4675"/>
            <w:tcBorders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образованию, культуре, спорту и делам молодежи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1066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</w:t>
            </w:r>
            <w:r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Зачисление детей в общеобразовательные организации</w:t>
            </w:r>
          </w:p>
        </w:tc>
        <w:tc>
          <w:tcPr>
            <w:tcW w:type="dxa" w:w="4675"/>
            <w:tcBorders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Комитет по образованию, культуре, спорту и делам молодежи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315"/>
        </w:trPr>
        <w:tc>
          <w:tcPr>
            <w:tcW w:type="dxa" w:w="14998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sz w:val="28"/>
              </w:rPr>
            </w:pPr>
            <w:r>
              <w:rPr>
                <w:rFonts w:ascii="Liberation Serif" w:hAnsi="Liberation Serif"/>
                <w:b w:val="1"/>
                <w:sz w:val="28"/>
              </w:rPr>
              <w:t>Услуги в сфере агропромышленного комплекса и продовольствия</w:t>
            </w:r>
          </w:p>
        </w:tc>
      </w:tr>
      <w:tr>
        <w:trPr>
          <w:trHeight w:hRule="atLeast" w:val="985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</w:t>
            </w:r>
            <w:r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      </w:r>
            <w:r>
              <w:rPr>
                <w:rFonts w:ascii="Liberation Serif" w:hAnsi="Liberation Serif"/>
                <w:sz w:val="28"/>
              </w:rPr>
              <w:t xml:space="preserve">Камышловского городского округа </w:t>
            </w:r>
            <w:r>
              <w:rPr>
                <w:rFonts w:ascii="Liberation Serif" w:hAnsi="Liberation Serif"/>
                <w:sz w:val="28"/>
              </w:rPr>
              <w:t>в очередном календарном году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Отдел экономики </w:t>
            </w:r>
            <w:r>
              <w:rPr>
                <w:rFonts w:ascii="Liberation Serif" w:hAnsi="Liberation Serif"/>
                <w:sz w:val="28"/>
              </w:rPr>
              <w:t>администрации Камышловского городского округа</w:t>
            </w:r>
          </w:p>
        </w:tc>
      </w:tr>
      <w:tr>
        <w:trPr>
          <w:trHeight w:hRule="atLeast" w:val="237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</w:t>
            </w:r>
            <w:r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Выдача разрешения на право организации розничных рынков</w:t>
            </w:r>
            <w:r>
              <w:rPr>
                <w:rFonts w:ascii="Liberation Serif" w:hAnsi="Liberation Serif"/>
                <w:sz w:val="28"/>
              </w:rPr>
              <w:t xml:space="preserve"> на территории Камышловского городского округа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Отдел экономики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303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</w:t>
            </w:r>
            <w:r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Переоформление разрешения на право организации розничных рынков</w:t>
            </w:r>
            <w:r>
              <w:rPr>
                <w:rFonts w:ascii="Liberation Serif" w:hAnsi="Liberation Serif"/>
                <w:sz w:val="28"/>
              </w:rPr>
              <w:t xml:space="preserve"> на территории Камышловского городского округа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Отдел экономики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213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Продление срока действия разрешения на </w:t>
            </w:r>
            <w:r>
              <w:rPr>
                <w:rFonts w:ascii="Liberation Serif" w:hAnsi="Liberation Serif"/>
                <w:sz w:val="28"/>
              </w:rPr>
              <w:t>право организации</w:t>
            </w:r>
            <w:r>
              <w:rPr>
                <w:rFonts w:ascii="Liberation Serif" w:hAnsi="Liberation Serif"/>
                <w:sz w:val="28"/>
              </w:rPr>
              <w:t xml:space="preserve"> розничных рынков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Отдел экономики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128"/>
        </w:trPr>
        <w:tc>
          <w:tcPr>
            <w:tcW w:type="dxa" w:w="14998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sz w:val="28"/>
              </w:rPr>
            </w:pPr>
            <w:r>
              <w:rPr>
                <w:rFonts w:ascii="Liberation Serif" w:hAnsi="Liberation Serif"/>
                <w:b w:val="1"/>
                <w:sz w:val="28"/>
              </w:rPr>
              <w:t>Услуги в сфере социальной политики</w:t>
            </w:r>
          </w:p>
        </w:tc>
      </w:tr>
      <w:tr>
        <w:trPr>
          <w:trHeight w:hRule="atLeast" w:val="556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 xml:space="preserve">Предоставление </w:t>
            </w:r>
            <w:r>
              <w:rPr>
                <w:rFonts w:ascii="Liberation Serif" w:hAnsi="Liberation Serif"/>
                <w:b w:val="0"/>
                <w:sz w:val="28"/>
              </w:rPr>
              <w:t xml:space="preserve">гражданам </w:t>
            </w:r>
            <w:r>
              <w:rPr>
                <w:rFonts w:ascii="Liberation Serif" w:hAnsi="Liberation Serif"/>
                <w:b w:val="0"/>
                <w:sz w:val="28"/>
              </w:rPr>
              <w:t>субсиди</w:t>
            </w:r>
            <w:r>
              <w:rPr>
                <w:rFonts w:ascii="Liberation Serif" w:hAnsi="Liberation Serif"/>
                <w:b w:val="0"/>
                <w:sz w:val="28"/>
              </w:rPr>
              <w:t>й</w:t>
            </w:r>
            <w:r>
              <w:rPr>
                <w:rFonts w:ascii="Liberation Serif" w:hAnsi="Liberation Serif"/>
                <w:b w:val="0"/>
                <w:sz w:val="28"/>
              </w:rPr>
              <w:t xml:space="preserve"> на</w:t>
            </w:r>
            <w:r>
              <w:rPr>
                <w:rFonts w:ascii="Liberation Serif" w:hAnsi="Liberation Serif"/>
                <w:b w:val="0"/>
                <w:sz w:val="28"/>
              </w:rPr>
              <w:t> </w:t>
            </w:r>
            <w:r>
              <w:rPr>
                <w:rFonts w:ascii="Liberation Serif" w:hAnsi="Liberation Serif"/>
                <w:b w:val="0"/>
                <w:sz w:val="28"/>
              </w:rPr>
              <w:t>оплату жилого помещения и коммунальных услуг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МКУ «Центр обеспечения деятельности администрации Камышловского городского округа»</w:t>
            </w:r>
          </w:p>
        </w:tc>
      </w:tr>
      <w:tr>
        <w:trPr>
          <w:trHeight w:hRule="atLeast" w:val="568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9.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0"/>
                <w:sz w:val="28"/>
              </w:rPr>
            </w:pPr>
            <w:r>
              <w:rPr>
                <w:rFonts w:ascii="Liberation Serif" w:hAnsi="Liberation Serif"/>
                <w:b w:val="0"/>
                <w:sz w:val="28"/>
              </w:rPr>
              <w:t>Предоставление отдельным категориям граждан компенсаций расходов на оплату жилого помещения и</w:t>
            </w:r>
            <w:r>
              <w:rPr>
                <w:rFonts w:ascii="Liberation Serif" w:hAnsi="Liberation Serif"/>
                <w:b w:val="0"/>
                <w:sz w:val="28"/>
              </w:rPr>
              <w:t> </w:t>
            </w:r>
            <w:r>
              <w:rPr>
                <w:rFonts w:ascii="Liberation Serif" w:hAnsi="Liberation Serif"/>
                <w:b w:val="0"/>
                <w:sz w:val="28"/>
              </w:rPr>
              <w:t>коммунальных услуг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МКУ «Центр обеспечения деятельности администрации Камышловского городского округа»</w:t>
            </w:r>
          </w:p>
        </w:tc>
      </w:tr>
      <w:tr>
        <w:trPr>
          <w:trHeight w:hRule="atLeast" w:val="453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образованию, культуре, спорту и делам молодежи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181"/>
        </w:trPr>
        <w:tc>
          <w:tcPr>
            <w:tcW w:type="dxa" w:w="14998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sz w:val="28"/>
              </w:rPr>
            </w:pPr>
            <w:r>
              <w:rPr>
                <w:rFonts w:ascii="Liberation Serif" w:hAnsi="Liberation Serif"/>
                <w:b w:val="1"/>
                <w:sz w:val="28"/>
              </w:rPr>
              <w:t>Услуги в сфере муниципального имущества</w:t>
            </w:r>
            <w:r>
              <w:rPr>
                <w:rFonts w:ascii="Liberation Serif" w:hAnsi="Liberation Serif"/>
                <w:b w:val="1"/>
                <w:sz w:val="28"/>
              </w:rPr>
              <w:t xml:space="preserve"> и земельных ресурсов</w:t>
            </w:r>
            <w:r>
              <w:rPr>
                <w:rFonts w:ascii="Liberation Serif" w:hAnsi="Liberation Serif"/>
                <w:sz w:val="28"/>
              </w:rPr>
              <w:t xml:space="preserve"> </w:t>
            </w:r>
          </w:p>
        </w:tc>
      </w:tr>
      <w:tr>
        <w:trPr>
          <w:trHeight w:hRule="atLeast" w:val="455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Выдача разрешений на установку и эксплуатацию рекламных конструкций на территории Камышловского городского округа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324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</w:t>
            </w:r>
            <w:r>
              <w:rPr>
                <w:rFonts w:ascii="Liberation Serif" w:hAnsi="Liberation Serif"/>
                <w:sz w:val="28"/>
              </w:rPr>
              <w:t>индивидуального жилищного строительства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hRule="atLeast" w:val="762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13.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Предварительное согласование предоставления земельных участков из состава земель, государственная собственность на которые не разграничена, и из земель, находящихся в собственности муниципального образования, на территории Камышловского городского округа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hRule="atLeast" w:val="7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на которых располагаются здания, сооружения, в собственность гражданам и юридическим лицам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56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15.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429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муниципального имущества Камышловского городского округа в безвозмездное пользование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hRule="atLeast" w:val="427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в аренду</w:t>
            </w:r>
            <w:r>
              <w:rPr>
                <w:rFonts w:ascii="Liberation Serif" w:hAnsi="Liberation Serif"/>
                <w:sz w:val="28"/>
              </w:rPr>
              <w:t xml:space="preserve"> муниципального имущества, находящегося в собственности Камышловского городского округа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58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hRule="atLeast" w:val="748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19.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339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20.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Исключение жилых помещений из числа служебных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Главный с</w:t>
            </w:r>
            <w:r>
              <w:rPr>
                <w:rFonts w:ascii="Liberation Serif" w:hAnsi="Liberation Serif"/>
                <w:sz w:val="28"/>
              </w:rPr>
              <w:t xml:space="preserve">пециалист по учету и </w:t>
            </w:r>
            <w:r>
              <w:rPr>
                <w:rFonts w:ascii="Liberation Serif" w:hAnsi="Liberation Serif"/>
                <w:sz w:val="28"/>
              </w:rPr>
              <w:t>распределению жилья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7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21.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Отчуждение недвижимого имущества, находящегося в муниципальной собственности Камышловского городского округа и арендуемого субъектами малого и среднего предпринимательства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377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22.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814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23.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</w:t>
            </w:r>
          </w:p>
          <w:p w14:paraId="66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городского округа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778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24.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в собственность, аренду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418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25.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Прием в собственность </w:t>
            </w:r>
            <w:r>
              <w:rPr>
                <w:rFonts w:ascii="Liberation Serif" w:hAnsi="Liberation Serif"/>
                <w:sz w:val="28"/>
              </w:rPr>
              <w:t>Камышловского городского округа</w:t>
            </w:r>
            <w:r>
              <w:rPr>
                <w:rFonts w:ascii="Liberation Serif" w:hAnsi="Liberation Serif"/>
                <w:sz w:val="28"/>
              </w:rPr>
              <w:t xml:space="preserve"> имущества, находящегося в частной собственности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713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26.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разрешения на осуществление земляных работ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Отдел архитектуры и градостроительства </w:t>
            </w:r>
            <w:r>
              <w:rPr>
                <w:rFonts w:ascii="Liberation Serif" w:hAnsi="Liberation Serif"/>
                <w:sz w:val="28"/>
              </w:rPr>
              <w:t xml:space="preserve">администрации </w:t>
            </w:r>
            <w:r>
              <w:rPr>
                <w:rFonts w:ascii="Liberation Serif" w:hAnsi="Liberation Serif"/>
                <w:sz w:val="28"/>
              </w:rPr>
              <w:t>Камышловского городского округа</w:t>
            </w:r>
          </w:p>
        </w:tc>
      </w:tr>
      <w:tr>
        <w:trPr>
          <w:trHeight w:hRule="atLeast" w:val="568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27.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 на территории Камышловского городского округа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hRule="atLeast" w:val="722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28.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hRule="atLeast" w:val="185"/>
        </w:trPr>
        <w:tc>
          <w:tcPr>
            <w:tcW w:type="dxa" w:w="14998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sz w:val="28"/>
              </w:rPr>
            </w:pPr>
            <w:r>
              <w:rPr>
                <w:rFonts w:ascii="Liberation Serif" w:hAnsi="Liberation Serif"/>
                <w:b w:val="1"/>
                <w:sz w:val="28"/>
              </w:rPr>
              <w:t>Услуги в сфере строительства и развития инфраструктуры</w:t>
            </w:r>
          </w:p>
        </w:tc>
      </w:tr>
      <w:tr>
        <w:trPr>
          <w:trHeight w:hRule="atLeast" w:val="459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spacing w:after="0" w:line="240" w:lineRule="auto"/>
              <w:ind w:hanging="351" w:left="493"/>
              <w:contextualSpacing w:val="1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29.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Приём заявлений, документов, а также постановка граждан на учёт в качестве нуждающихся в жилых помещениях, предоставляемых по договору социального найма на территории Камышловского городского округа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Главный с</w:t>
            </w:r>
            <w:r>
              <w:rPr>
                <w:rFonts w:ascii="Liberation Serif" w:hAnsi="Liberation Serif"/>
                <w:sz w:val="28"/>
              </w:rPr>
              <w:t>пециалист по учету и распределению жилья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612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30.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Отдел архитектуры и градостроительства </w:t>
            </w:r>
            <w:r>
              <w:rPr>
                <w:rFonts w:ascii="Liberation Serif" w:hAnsi="Liberation Serif"/>
                <w:sz w:val="28"/>
              </w:rPr>
              <w:t>администрации Камышловского городского округа</w:t>
            </w:r>
          </w:p>
        </w:tc>
      </w:tr>
      <w:tr>
        <w:trPr>
          <w:trHeight w:hRule="atLeast" w:val="341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31.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Главный с</w:t>
            </w:r>
            <w:r>
              <w:rPr>
                <w:rFonts w:ascii="Liberation Serif" w:hAnsi="Liberation Serif"/>
                <w:sz w:val="28"/>
              </w:rPr>
              <w:t>пециалист по учету и распределению жилья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65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32.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Выдача </w:t>
            </w:r>
            <w:r>
              <w:rPr>
                <w:rFonts w:ascii="Liberation Serif" w:hAnsi="Liberation Serif"/>
                <w:sz w:val="28"/>
              </w:rPr>
              <w:t>градостроительн</w:t>
            </w:r>
            <w:r>
              <w:rPr>
                <w:rFonts w:ascii="Liberation Serif" w:hAnsi="Liberation Serif"/>
                <w:sz w:val="28"/>
              </w:rPr>
              <w:t>ых</w:t>
            </w:r>
            <w:r>
              <w:rPr>
                <w:rFonts w:ascii="Liberation Serif" w:hAnsi="Liberation Serif"/>
                <w:sz w:val="28"/>
              </w:rPr>
              <w:t xml:space="preserve"> план</w:t>
            </w:r>
            <w:r>
              <w:rPr>
                <w:rFonts w:ascii="Liberation Serif" w:hAnsi="Liberation Serif"/>
                <w:sz w:val="28"/>
              </w:rPr>
              <w:t>ов</w:t>
            </w:r>
            <w:r>
              <w:rPr>
                <w:rFonts w:ascii="Liberation Serif" w:hAnsi="Liberation Serif"/>
                <w:sz w:val="28"/>
              </w:rPr>
              <w:t xml:space="preserve"> земельн</w:t>
            </w:r>
            <w:r>
              <w:rPr>
                <w:rFonts w:ascii="Liberation Serif" w:hAnsi="Liberation Serif"/>
                <w:sz w:val="28"/>
              </w:rPr>
              <w:t>ых</w:t>
            </w:r>
            <w:r>
              <w:rPr>
                <w:rFonts w:ascii="Liberation Serif" w:hAnsi="Liberation Serif"/>
                <w:sz w:val="28"/>
              </w:rPr>
              <w:t xml:space="preserve"> участк</w:t>
            </w:r>
            <w:r>
              <w:rPr>
                <w:rFonts w:ascii="Liberation Serif" w:hAnsi="Liberation Serif"/>
                <w:sz w:val="28"/>
              </w:rPr>
              <w:t>ов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Отдел архитектуры и градостроительства </w:t>
            </w:r>
            <w:r>
              <w:rPr>
                <w:rFonts w:ascii="Liberation Serif" w:hAnsi="Liberation Serif"/>
                <w:sz w:val="28"/>
              </w:rPr>
              <w:t>администрации Камышловского городского округа</w:t>
            </w:r>
          </w:p>
        </w:tc>
      </w:tr>
      <w:tr>
        <w:trPr>
          <w:trHeight w:hRule="atLeast" w:val="379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33.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Отдел архитектуры и градостроительства </w:t>
            </w:r>
            <w:r>
              <w:rPr>
                <w:rFonts w:ascii="Liberation Serif" w:hAnsi="Liberation Serif"/>
                <w:sz w:val="28"/>
              </w:rPr>
              <w:t>администрации Камышловского городского округа</w:t>
            </w:r>
          </w:p>
        </w:tc>
      </w:tr>
      <w:tr>
        <w:trPr>
          <w:trHeight w:hRule="atLeast" w:val="391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34.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Присвоение адреса объекту недвижимости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Отдел архитектуры и градостроительства </w:t>
            </w:r>
            <w:r>
              <w:rPr>
                <w:rFonts w:ascii="Liberation Serif" w:hAnsi="Liberation Serif"/>
                <w:sz w:val="28"/>
              </w:rPr>
              <w:t xml:space="preserve">администрации </w:t>
            </w:r>
            <w:r>
              <w:rPr>
                <w:rFonts w:ascii="Liberation Serif" w:hAnsi="Liberation Serif"/>
                <w:sz w:val="28"/>
              </w:rPr>
              <w:t>Камышловского городского округа</w:t>
            </w:r>
          </w:p>
        </w:tc>
      </w:tr>
      <w:tr>
        <w:trPr>
          <w:trHeight w:hRule="atLeast" w:val="701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35.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П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редоставление сведений, документов и материалов, содержащихся в государственных системах обеспечения градостроительной деятельности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Отдел архитектуры и градостроительства </w:t>
            </w:r>
            <w:r>
              <w:rPr>
                <w:rFonts w:ascii="Liberation Serif" w:hAnsi="Liberation Serif"/>
                <w:sz w:val="28"/>
              </w:rPr>
              <w:t>администрации Камышловского городского округа</w:t>
            </w:r>
          </w:p>
        </w:tc>
      </w:tr>
      <w:tr>
        <w:trPr>
          <w:trHeight w:hRule="atLeast" w:val="418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</w:t>
            </w:r>
            <w:r>
              <w:rPr>
                <w:rFonts w:ascii="Liberation Serif" w:hAnsi="Liberation Serif"/>
                <w:sz w:val="28"/>
              </w:rPr>
              <w:t>6.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Отдел архитектуры и градостроительства </w:t>
            </w:r>
            <w:r>
              <w:rPr>
                <w:rFonts w:ascii="Liberation Serif" w:hAnsi="Liberation Serif"/>
                <w:sz w:val="28"/>
              </w:rPr>
              <w:t>администрации Камышловского городского округа</w:t>
            </w:r>
          </w:p>
        </w:tc>
      </w:tr>
      <w:tr>
        <w:trPr>
          <w:trHeight w:hRule="atLeast" w:val="713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37</w:t>
            </w:r>
            <w:r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Признание граждан участниками подпрограммы «</w:t>
            </w:r>
            <w:r>
              <w:rPr>
                <w:rFonts w:ascii="Liberation Serif" w:hAnsi="Liberation Serif"/>
                <w:sz w:val="28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Главный с</w:t>
            </w:r>
            <w:r>
              <w:rPr>
                <w:rFonts w:ascii="Liberation Serif" w:hAnsi="Liberation Serif"/>
                <w:sz w:val="28"/>
              </w:rPr>
              <w:t>пециалист по учету и распределению жилья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569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38</w:t>
            </w:r>
            <w:r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Отдел архитектуры и градостроительства </w:t>
            </w:r>
            <w:r>
              <w:rPr>
                <w:rFonts w:ascii="Liberation Serif" w:hAnsi="Liberation Serif"/>
                <w:sz w:val="28"/>
              </w:rPr>
              <w:t>администрации Камышловского городского округа</w:t>
            </w:r>
          </w:p>
        </w:tc>
      </w:tr>
      <w:tr>
        <w:trPr>
          <w:trHeight w:hRule="atLeast" w:val="58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39</w:t>
            </w:r>
            <w:r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hRule="atLeast" w:val="58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40.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hRule="atLeast" w:val="58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41.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hRule="atLeast" w:val="58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42.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 xml:space="preserve">Выдача уведомления о соответствии (несоответствии) 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 xml:space="preserve"> 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hRule="atLeast" w:val="58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43.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 xml:space="preserve">Принятие решения об утверждении документации по планировке территории 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 xml:space="preserve">на территории 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Камышловского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 xml:space="preserve"> городского округа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hRule="atLeast" w:val="962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44.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Направление уведомления о планируемом сносе объекта капитального строительства, уведомления о завершении сноса объекта капитального строительства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hRule="atLeast" w:val="58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45.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 xml:space="preserve"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государственной собственности до ее разграничения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hRule="atLeast" w:val="315"/>
        </w:trPr>
        <w:tc>
          <w:tcPr>
            <w:tcW w:type="dxa" w:w="14998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sz w:val="28"/>
              </w:rPr>
            </w:pPr>
            <w:r>
              <w:rPr>
                <w:rFonts w:ascii="Liberation Serif" w:hAnsi="Liberation Serif"/>
                <w:b w:val="1"/>
                <w:sz w:val="28"/>
              </w:rPr>
              <w:t>Услуги в сфере транспорта и связи</w:t>
            </w:r>
          </w:p>
        </w:tc>
      </w:tr>
      <w:tr>
        <w:trPr>
          <w:trHeight w:hRule="atLeast" w:val="71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46.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 xml:space="preserve">Выдача специального разрешения на движение по автомобильным дорогам местного значения 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транспортного средства, осуществляющего перевозки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 xml:space="preserve"> тяжеловесн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ых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 xml:space="preserve"> и (или) крупногабаритн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ых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0"/>
                <w:sz w:val="28"/>
              </w:rPr>
              <w:t>грузов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hRule="atLeast" w:val="155"/>
        </w:trPr>
        <w:tc>
          <w:tcPr>
            <w:tcW w:type="dxa" w:w="14998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sz w:val="28"/>
              </w:rPr>
            </w:pPr>
            <w:r>
              <w:rPr>
                <w:rFonts w:ascii="Liberation Serif" w:hAnsi="Liberation Serif"/>
                <w:b w:val="1"/>
                <w:sz w:val="28"/>
              </w:rPr>
              <w:t>Услуги в сфере обеспечения жильем молодых семей</w:t>
            </w:r>
          </w:p>
        </w:tc>
      </w:tr>
      <w:tr>
        <w:trPr>
          <w:trHeight w:hRule="atLeast" w:val="287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47.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Главный с</w:t>
            </w:r>
            <w:r>
              <w:rPr>
                <w:rFonts w:ascii="Liberation Serif" w:hAnsi="Liberation Serif"/>
                <w:sz w:val="28"/>
              </w:rPr>
              <w:t>пециалист по учету и распределению жилья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299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48.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Признание молодых семей участниками подпрограммы «Обеспечение жильем молодых семей» на территории Камышловского городского округа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Главный специалист по учету и распределению жилья администрации Камышловского </w:t>
            </w:r>
            <w:r>
              <w:rPr>
                <w:rFonts w:ascii="Liberation Serif" w:hAnsi="Liberation Serif"/>
                <w:sz w:val="28"/>
              </w:rPr>
              <w:t>городского округа</w:t>
            </w:r>
          </w:p>
        </w:tc>
      </w:tr>
      <w:tr>
        <w:trPr>
          <w:trHeight w:hRule="atLeast" w:val="594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49.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hRule="atLeast" w:val="181"/>
        </w:trPr>
        <w:tc>
          <w:tcPr>
            <w:tcW w:type="dxa" w:w="14998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sz w:val="28"/>
              </w:rPr>
            </w:pPr>
            <w:r>
              <w:rPr>
                <w:rFonts w:ascii="Liberation Serif" w:hAnsi="Liberation Serif"/>
                <w:b w:val="1"/>
                <w:sz w:val="28"/>
              </w:rPr>
              <w:t>Услуги в сфере архивного дела</w:t>
            </w:r>
          </w:p>
        </w:tc>
      </w:tr>
      <w:tr>
        <w:trPr>
          <w:trHeight w:hRule="atLeast" w:val="20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50.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Организационный</w:t>
            </w:r>
            <w:r>
              <w:rPr>
                <w:rFonts w:ascii="Liberation Serif" w:hAnsi="Liberation Serif"/>
                <w:sz w:val="28"/>
              </w:rPr>
              <w:t xml:space="preserve"> отдел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476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51.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Организационный </w:t>
            </w:r>
            <w:r>
              <w:rPr>
                <w:rFonts w:ascii="Liberation Serif" w:hAnsi="Liberation Serif"/>
                <w:sz w:val="28"/>
              </w:rPr>
              <w:t>отдел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134"/>
        </w:trPr>
        <w:tc>
          <w:tcPr>
            <w:tcW w:type="dxa" w:w="14998"/>
            <w:gridSpan w:val="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b w:val="1"/>
                <w:sz w:val="28"/>
              </w:rPr>
            </w:pPr>
            <w:r>
              <w:rPr>
                <w:rFonts w:ascii="Liberation Serif" w:hAnsi="Liberation Serif"/>
                <w:b w:val="1"/>
                <w:sz w:val="28"/>
              </w:rPr>
              <w:t>Услуги в сфере энергетики и жилищно-коммунального хозяйства</w:t>
            </w:r>
          </w:p>
        </w:tc>
      </w:tr>
      <w:tr>
        <w:trPr>
          <w:trHeight w:hRule="atLeast" w:val="55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52</w:t>
            </w:r>
            <w:r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type="dxa" w:w="9594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Оформление дубликата договора социального </w:t>
            </w:r>
            <w:r>
              <w:rPr>
                <w:rFonts w:ascii="Liberation Serif" w:hAnsi="Liberation Serif"/>
                <w:sz w:val="28"/>
              </w:rPr>
              <w:t>найма жилого</w:t>
            </w:r>
            <w:r>
              <w:rPr>
                <w:rFonts w:ascii="Liberation Serif" w:hAnsi="Liberation Serif"/>
                <w:sz w:val="28"/>
              </w:rPr>
              <w:t xml:space="preserve">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type="dxa" w:w="467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Главный с</w:t>
            </w:r>
            <w:r>
              <w:rPr>
                <w:rFonts w:ascii="Liberation Serif" w:hAnsi="Liberation Serif"/>
                <w:sz w:val="28"/>
              </w:rPr>
              <w:t>пециалист по учету и распределению жилья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419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53</w:t>
            </w:r>
            <w:r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Главный специалист </w:t>
            </w:r>
            <w:r>
              <w:rPr>
                <w:rFonts w:ascii="Liberation Serif" w:hAnsi="Liberation Serif"/>
                <w:sz w:val="28"/>
              </w:rPr>
              <w:t>по учету и распределению жилья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572"/>
        </w:trPr>
        <w:tc>
          <w:tcPr>
            <w:tcW w:type="dxa" w:w="729"/>
            <w:tcBorders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54.</w:t>
            </w:r>
          </w:p>
        </w:tc>
        <w:tc>
          <w:tcPr>
            <w:tcW w:type="dxa" w:w="9594"/>
            <w:tcBorders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type="dxa" w:w="4675"/>
            <w:tcBorders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hRule="atLeast" w:val="443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55</w:t>
            </w:r>
            <w:r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Принятие </w:t>
            </w:r>
            <w:r>
              <w:rPr>
                <w:rFonts w:ascii="Liberation Serif" w:hAnsi="Liberation Serif"/>
                <w:sz w:val="28"/>
              </w:rPr>
              <w:t xml:space="preserve">решения </w:t>
            </w:r>
            <w:r>
              <w:rPr>
                <w:rFonts w:ascii="Liberation Serif" w:hAnsi="Liberation Serif"/>
                <w:sz w:val="28"/>
              </w:rPr>
              <w:t>о переводе жилого помещения в нежилое и нежилого помещения в жилое помещение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Отдел архитектуры и градостроительства </w:t>
            </w:r>
            <w:r>
              <w:rPr>
                <w:rFonts w:ascii="Liberation Serif" w:hAnsi="Liberation Serif"/>
                <w:sz w:val="28"/>
              </w:rPr>
              <w:t xml:space="preserve">администрации </w:t>
            </w:r>
            <w:r>
              <w:rPr>
                <w:rFonts w:ascii="Liberation Serif" w:hAnsi="Liberation Serif"/>
                <w:sz w:val="28"/>
              </w:rPr>
              <w:t>Камышловского городского округа</w:t>
            </w:r>
          </w:p>
        </w:tc>
      </w:tr>
      <w:tr>
        <w:trPr>
          <w:trHeight w:hRule="atLeast" w:val="596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56.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Главный с</w:t>
            </w:r>
            <w:r>
              <w:rPr>
                <w:rFonts w:ascii="Liberation Serif" w:hAnsi="Liberation Serif"/>
                <w:sz w:val="28"/>
              </w:rPr>
              <w:t>пециалист по учету и распределению жилья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481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57</w:t>
            </w:r>
            <w:r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Главный с</w:t>
            </w:r>
            <w:r>
              <w:rPr>
                <w:rFonts w:ascii="Liberation Serif" w:hAnsi="Liberation Serif"/>
                <w:sz w:val="28"/>
              </w:rPr>
              <w:t>пециалист по учету и распределению жилья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492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58.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порубочного билета и (или) разрешения на пересадку деревьев и кустарников на территории КГО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МКУ «Центр обеспечения деятельности администрации Камышловского городского округа»</w:t>
            </w:r>
          </w:p>
        </w:tc>
      </w:tr>
      <w:tr>
        <w:trPr>
          <w:trHeight w:hRule="atLeast" w:val="363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59.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Главный специалист</w:t>
            </w:r>
            <w:r>
              <w:rPr>
                <w:rFonts w:ascii="Liberation Serif" w:hAnsi="Liberation Serif"/>
                <w:sz w:val="28"/>
              </w:rPr>
              <w:t xml:space="preserve"> по учету и распределению жилья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360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60.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Главный специалист</w:t>
            </w:r>
            <w:r>
              <w:rPr>
                <w:rFonts w:ascii="Liberation Serif" w:hAnsi="Liberation Serif"/>
                <w:sz w:val="28"/>
              </w:rPr>
              <w:t xml:space="preserve"> по учету и распределению жилья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  <w:tr>
        <w:trPr>
          <w:trHeight w:hRule="atLeast" w:val="231"/>
        </w:trPr>
        <w:tc>
          <w:tcPr>
            <w:tcW w:type="dxa" w:w="72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spacing w:after="0" w:line="240" w:lineRule="auto"/>
              <w:ind w:hanging="351" w:left="493"/>
              <w:contextualSpacing w:val="1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61.</w:t>
            </w:r>
          </w:p>
        </w:tc>
        <w:tc>
          <w:tcPr>
            <w:tcW w:type="dxa" w:w="95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Включение жилых помещений в состав специализированного жилищного фонда</w:t>
            </w:r>
          </w:p>
        </w:tc>
        <w:tc>
          <w:tcPr>
            <w:tcW w:type="dxa" w:w="4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spacing w:after="0" w:line="240" w:lineRule="auto"/>
              <w:ind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Главный специалист</w:t>
            </w:r>
            <w:r>
              <w:rPr>
                <w:rFonts w:ascii="Liberation Serif" w:hAnsi="Liberation Serif"/>
                <w:sz w:val="28"/>
              </w:rPr>
              <w:t xml:space="preserve"> по учету и распределению жилья</w:t>
            </w:r>
            <w:r>
              <w:rPr>
                <w:rFonts w:ascii="Liberation Serif" w:hAnsi="Liberation Serif"/>
                <w:sz w:val="28"/>
              </w:rPr>
              <w:t xml:space="preserve"> администрации Камышловского городского округа</w:t>
            </w:r>
          </w:p>
        </w:tc>
      </w:tr>
    </w:tbl>
    <w:p w14:paraId="DF000000">
      <w:pPr>
        <w:rPr>
          <w:sz w:val="26"/>
        </w:rPr>
      </w:pPr>
    </w:p>
    <w:sectPr>
      <w:headerReference r:id="rId1" w:type="default"/>
      <w:pgSz w:h="11906" w:w="16838"/>
      <w:pgMar w:bottom="851" w:footer="709" w:gutter="0" w:header="709" w:left="1134" w:right="1134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ind/>
      <w:jc w:val="right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ind/>
      <w:jc w:val="right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  <w:rPr>
        <w:b w:val="0"/>
      </w:r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429"/>
      </w:pPr>
    </w:lvl>
    <w:lvl w:ilvl="3">
      <w:start w:val="1"/>
      <w:numFmt w:val="decimal"/>
      <w:lvlText w:val="%1.%2.%3.%4."/>
      <w:lvlJc w:val="left"/>
      <w:pPr>
        <w:ind w:hanging="1080" w:left="1789"/>
      </w:pPr>
    </w:lvl>
    <w:lvl w:ilvl="4">
      <w:start w:val="1"/>
      <w:numFmt w:val="decimal"/>
      <w:lvlText w:val="%1.%2.%3.%4.%5."/>
      <w:lvlJc w:val="left"/>
      <w:pPr>
        <w:ind w:hanging="1080" w:left="1789"/>
      </w:pPr>
    </w:lvl>
    <w:lvl w:ilvl="5">
      <w:start w:val="1"/>
      <w:numFmt w:val="decimal"/>
      <w:lvlText w:val="%1.%2.%3.%4.%5.%6."/>
      <w:lvlJc w:val="left"/>
      <w:pPr>
        <w:ind w:hanging="1440" w:left="2149"/>
      </w:pPr>
    </w:lvl>
    <w:lvl w:ilvl="6">
      <w:start w:val="1"/>
      <w:numFmt w:val="decimal"/>
      <w:lvlText w:val="%1.%2.%3.%4.%5.%6.%7."/>
      <w:lvlJc w:val="left"/>
      <w:pPr>
        <w:ind w:hanging="1800" w:left="2509"/>
      </w:pPr>
    </w:lvl>
    <w:lvl w:ilvl="7">
      <w:start w:val="1"/>
      <w:numFmt w:val="decimal"/>
      <w:lvlText w:val="%1.%2.%3.%4.%5.%6.%7.%8."/>
      <w:lvlJc w:val="left"/>
      <w:pPr>
        <w:ind w:hanging="1800" w:left="2509"/>
      </w:pPr>
    </w:lvl>
    <w:lvl w:ilvl="8">
      <w:start w:val="1"/>
      <w:numFmt w:val="decimal"/>
      <w:lvlText w:val="%1.%2.%3.%4.%5.%6.%7.%8.%9."/>
      <w:lvlJc w:val="left"/>
      <w:pPr>
        <w:ind w:hanging="2160" w:left="2869"/>
      </w:pPr>
    </w:lvl>
  </w:abstractNum>
  <w:abstractNum w:abstractNumId="1">
    <w:lvl w:ilvl="0">
      <w:start w:val="1"/>
      <w:numFmt w:val="decimal"/>
      <w:lvlText w:val="%1."/>
      <w:lvlJc w:val="left"/>
      <w:pPr>
        <w:ind w:hanging="351" w:left="493"/>
      </w:pPr>
    </w:lvl>
    <w:lvl w:ilvl="1">
      <w:start w:val="1"/>
      <w:numFmt w:val="lowerLetter"/>
      <w:lvlText w:val="%2."/>
      <w:lvlJc w:val="left"/>
      <w:pPr>
        <w:ind w:hanging="360" w:left="1213"/>
      </w:pPr>
    </w:lvl>
    <w:lvl w:ilvl="2">
      <w:start w:val="1"/>
      <w:numFmt w:val="lowerRoman"/>
      <w:lvlText w:val="%3."/>
      <w:lvlJc w:val="right"/>
      <w:pPr>
        <w:ind w:hanging="180" w:left="1933"/>
      </w:pPr>
    </w:lvl>
    <w:lvl w:ilvl="3">
      <w:start w:val="1"/>
      <w:numFmt w:val="decimal"/>
      <w:lvlText w:val="%4."/>
      <w:lvlJc w:val="left"/>
      <w:pPr>
        <w:ind w:hanging="360" w:left="2653"/>
      </w:pPr>
    </w:lvl>
    <w:lvl w:ilvl="4">
      <w:start w:val="1"/>
      <w:numFmt w:val="lowerLetter"/>
      <w:lvlText w:val="%5."/>
      <w:lvlJc w:val="left"/>
      <w:pPr>
        <w:ind w:hanging="360" w:left="3373"/>
      </w:pPr>
    </w:lvl>
    <w:lvl w:ilvl="5">
      <w:start w:val="1"/>
      <w:numFmt w:val="lowerRoman"/>
      <w:lvlText w:val="%6."/>
      <w:lvlJc w:val="right"/>
      <w:pPr>
        <w:ind w:hanging="180" w:left="4093"/>
      </w:pPr>
    </w:lvl>
    <w:lvl w:ilvl="6">
      <w:start w:val="1"/>
      <w:numFmt w:val="decimal"/>
      <w:lvlText w:val="%7."/>
      <w:lvlJc w:val="left"/>
      <w:pPr>
        <w:ind w:hanging="360" w:left="4813"/>
      </w:pPr>
    </w:lvl>
    <w:lvl w:ilvl="7">
      <w:start w:val="1"/>
      <w:numFmt w:val="lowerLetter"/>
      <w:lvlText w:val="%8."/>
      <w:lvlJc w:val="left"/>
      <w:pPr>
        <w:ind w:hanging="360" w:left="5533"/>
      </w:pPr>
    </w:lvl>
    <w:lvl w:ilvl="8">
      <w:start w:val="1"/>
      <w:numFmt w:val="lowerRoman"/>
      <w:lvlText w:val="%9."/>
      <w:lvlJc w:val="right"/>
      <w:pPr>
        <w:ind w:hanging="180" w:left="625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Body Text"/>
    <w:basedOn w:val="Style_4"/>
    <w:link w:val="Style_9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9_ch" w:type="character">
    <w:name w:val="Body Text"/>
    <w:basedOn w:val="Style_4_ch"/>
    <w:link w:val="Style_9"/>
    <w:rPr>
      <w:rFonts w:ascii="Times New Roman" w:hAnsi="Times New Roman"/>
      <w:sz w:val="24"/>
    </w:rPr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" w:type="paragraph">
    <w:name w:val="Основной текст 21"/>
    <w:basedOn w:val="Style_4"/>
    <w:link w:val="Style_1_ch"/>
    <w:pPr>
      <w:spacing w:after="0" w:line="240" w:lineRule="auto"/>
      <w:ind w:right="4535"/>
    </w:pPr>
    <w:rPr>
      <w:rFonts w:ascii="Times New Roman" w:hAnsi="Times New Roman"/>
      <w:sz w:val="28"/>
    </w:rPr>
  </w:style>
  <w:style w:styleId="Style_1_ch" w:type="character">
    <w:name w:val="Основной текст 21"/>
    <w:basedOn w:val="Style_4_ch"/>
    <w:link w:val="Style_1"/>
    <w:rPr>
      <w:rFonts w:ascii="Times New Roman" w:hAnsi="Times New Roman"/>
      <w:sz w:val="28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Основной текст4"/>
    <w:basedOn w:val="Style_4"/>
    <w:link w:val="Style_23_ch"/>
    <w:pPr>
      <w:spacing w:after="180" w:before="300" w:line="322" w:lineRule="exact"/>
      <w:ind w:hanging="1540"/>
      <w:jc w:val="both"/>
    </w:pPr>
    <w:rPr>
      <w:sz w:val="27"/>
    </w:rPr>
  </w:style>
  <w:style w:styleId="Style_23_ch" w:type="character">
    <w:name w:val="Основной текст4"/>
    <w:basedOn w:val="Style_4_ch"/>
    <w:link w:val="Style_23"/>
    <w:rPr>
      <w:sz w:val="27"/>
    </w:rPr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basedOn w:val="Style_4"/>
    <w:link w:val="Style_26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26_ch" w:type="character">
    <w:name w:val="Title"/>
    <w:basedOn w:val="Style_4_ch"/>
    <w:link w:val="Style_26"/>
    <w:rPr>
      <w:rFonts w:ascii="Times New Roman" w:hAnsi="Times New Roman"/>
      <w:b w:val="1"/>
      <w:sz w:val="24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 Знак"/>
    <w:basedOn w:val="Style_4"/>
    <w:link w:val="Style_28_ch"/>
    <w:pPr>
      <w:spacing w:after="0" w:line="240" w:lineRule="auto"/>
      <w:ind/>
    </w:pPr>
    <w:rPr>
      <w:rFonts w:ascii="Verdana" w:hAnsi="Verdana"/>
      <w:sz w:val="20"/>
    </w:rPr>
  </w:style>
  <w:style w:styleId="Style_28_ch" w:type="character">
    <w:name w:val=" Знак"/>
    <w:basedOn w:val="Style_4_ch"/>
    <w:link w:val="Style_28"/>
    <w:rPr>
      <w:rFonts w:ascii="Verdana" w:hAnsi="Verdana"/>
      <w:sz w:val="20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