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48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7"/>
        <w:gridCol w:w="4320"/>
      </w:tblGrid>
      <w:tr>
        <w:trPr/>
        <w:tc>
          <w:tcPr>
            <w:tcW w:w="10727" w:type="dxa"/>
            <w:tcBorders/>
            <w:shd w:fill="auto" w:val="clear"/>
          </w:tcPr>
          <w:p>
            <w:pPr>
              <w:pStyle w:val="Style31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№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УТВЕРЖДЕНЫ</w:t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31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sz w:val="24"/>
                <w:szCs w:val="24"/>
              </w:rPr>
              <w:t>14.03.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2019  № </w:t>
            </w:r>
            <w:r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</w:tr>
    </w:tbl>
    <w:p>
      <w:pPr>
        <w:pStyle w:val="Style31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Style31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>
      <w:pPr>
        <w:pStyle w:val="ConsPlusCel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«Развитие социально-экономического комплекса Камышловского городского округа до 2020 года» </w:t>
      </w:r>
    </w:p>
    <w:p>
      <w:pPr>
        <w:pStyle w:val="ConsPlusCel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5451" w:type="dxa"/>
        <w:jc w:val="left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</w:tblPr>
      <w:tblGrid>
        <w:gridCol w:w="709"/>
        <w:gridCol w:w="2977"/>
        <w:gridCol w:w="2268"/>
        <w:gridCol w:w="1134"/>
        <w:gridCol w:w="283"/>
        <w:gridCol w:w="709"/>
        <w:gridCol w:w="285"/>
        <w:gridCol w:w="707"/>
        <w:gridCol w:w="285"/>
        <w:gridCol w:w="1134"/>
        <w:gridCol w:w="142"/>
        <w:gridCol w:w="850"/>
        <w:gridCol w:w="142"/>
        <w:gridCol w:w="992"/>
        <w:gridCol w:w="1132"/>
        <w:gridCol w:w="2"/>
        <w:gridCol w:w="1698"/>
      </w:tblGrid>
      <w:tr>
        <w:trPr>
          <w:trHeight w:val="480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  <w:br/>
              <w:t xml:space="preserve"> цели (целей) и </w:t>
              <w:br/>
              <w:t xml:space="preserve"> задач, целевых </w:t>
              <w:br/>
              <w:t xml:space="preserve">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77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Значение целевого показателя реализации </w:t>
              <w:br/>
              <w:t>муниципальной подпрограммы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Источник </w:t>
              <w:br/>
              <w:t xml:space="preserve"> значений </w:t>
              <w:br/>
              <w:t>показателей</w:t>
            </w:r>
          </w:p>
        </w:tc>
      </w:tr>
      <w:tr>
        <w:trPr>
          <w:trHeight w:val="32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2014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2016 год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64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2017</w:t>
            </w:r>
          </w:p>
          <w:p>
            <w:pPr>
              <w:pStyle w:val="ConsPlusCell"/>
              <w:ind w:right="-64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2018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2019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 «Информационное обеспечение деятельности администрации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/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беспечение информационной открытости администрации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>
        <w:trPr/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информационных материалов 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НПА и иных материалов, подлежащих обязательному опубликованию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2 «Развитие малого и среднего предпринимательства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Совершенствование внешней среды развития малого и среднего предпринимательства.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 в КГО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Финансовая поддержка субъектов малого и среднего предпринимательства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 субъектов малого и среднего предпринимательства на 10 тыс.человек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43,05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3.«Благоустройство и озеленение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1:</w:t>
            </w:r>
            <w:r>
              <w:rPr>
                <w:rStyle w:val="Style9"/>
                <w:rFonts w:ascii="Liberation Serif" w:hAnsi="Liberation Serif"/>
              </w:rPr>
              <w:t xml:space="preserve"> П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овышение уровня благоустройства города</w:t>
            </w:r>
            <w:r>
              <w:rPr>
                <w:rStyle w:val="Style9"/>
                <w:rFonts w:ascii="Liberation Serif" w:hAnsi="Liberation Serif"/>
              </w:rPr>
              <w:t>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Благоустройство площади, скверов и парков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благоустроенных площадей, скверов и парков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светоточек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:Улучшение санитарного и эстетического состояния города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Обрезка и валка аварийных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обращениям граждан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обрезанных и ликвидированных аварийных деревьев от общего количества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 общего количества деревьев 1270 шт.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мест захоронения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4.«Развитие транспортного комплекса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: Обеспечение нормального и безопасного транспортного сообщения по автомобильным дорогам общего пользования Камышловского городского округа 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Style w:val="Style9"/>
                <w:rFonts w:ascii="Liberation Serif" w:hAnsi="Liberation Serif"/>
                <w:color w:val="000000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Ремонт автомобильных дорог города, увеличивая протяженность дорог с усовершенствованным покрытием дорожного полотна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отремонтированных дорог от общего количества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дорог 153,4 км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 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Обновление парка дорожно- строительной и коммунальной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дорожно- строительной и коммунальной техники от общего количества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коммунальной техники 34 ед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5."Развитие газификации в Камышловском городском округе"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1.</w:t>
            </w:r>
            <w:r>
              <w:rPr>
                <w:rStyle w:val="Style9"/>
                <w:rFonts w:ascii="Liberation Serif" w:hAnsi="Liberation Serif"/>
                <w:color w:val="000000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>
              <w:rPr>
                <w:rStyle w:val="Style9"/>
                <w:rFonts w:ascii="Liberation Serif" w:hAnsi="Liberation Serif"/>
                <w:color w:val="000000"/>
              </w:rPr>
              <w:t>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протяженности газопроводов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Годовое увеличение потребления природного газа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млн.м</w:t>
            </w:r>
            <w:r>
              <w:rPr>
                <w:rStyle w:val="Style9"/>
                <w:rFonts w:ascii="Liberation Serif" w:hAnsi="Liberation Serif"/>
                <w:color w:val="000000"/>
                <w:positio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газопровода с применением передовых технологий и современных строительных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3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.Установка приборов учета потребления природного газа потребителями.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4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.Повышение уровня газификации природным газом в Камышловском городском округе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Прирост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6.«Охрана окружающей среды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 Улучшение санитарного и экологического состояния города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Обустройство и устройство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обустроенных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7.«Обеспечение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137 км автомобильных дорог и содержания светофорных объектов в надлежащем виде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обустроенных остановочных комплексов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8 «Пожарная безопасность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Уменьшение размеров материальных потерь от огня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eastAsia="hu-HU"/>
              </w:rPr>
              <w:t>Повышение уровня пожарной защиты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Улучшение материально-технической базы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4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ДПО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 персонала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9 «Обеспечение общественной безопасности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>
              <w:rPr>
                <w:rStyle w:val="Style9"/>
                <w:rFonts w:ascii="Liberation Serif" w:hAnsi="Liberation Serif"/>
                <w:color w:val="000000"/>
                <w:spacing w:val="4"/>
                <w:sz w:val="24"/>
                <w:szCs w:val="24"/>
              </w:rPr>
              <w:t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безопасности населения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Участие в профилактике антитеррористической деятельности.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3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Совершенствование системы муниципального управления и оперативного реагирования в чрезвычайных и кризисных ситуациях.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4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Организация предупреждения и пресечения террористической деятельности общественных и религиозных объединений, иных организаций, физических лиц.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10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 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clear" w:pos="708"/>
              </w:tabs>
              <w:ind w:left="-9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 xml:space="preserve"> Содержание системы оповещения руководящего состава РСЧС и всех категорий населения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44" w:hanging="9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3: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-9" w:firstLine="9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4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Доля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населения</w:t>
            </w:r>
            <w:r>
              <w:rPr>
                <w:rStyle w:val="Ts21"/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5"/>
              <w:tabs>
                <w:tab w:val="clear" w:pos="708"/>
              </w:tabs>
              <w:spacing w:lineRule="auto" w:line="240" w:before="0" w:after="0"/>
              <w:ind w:left="841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7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:Готовность к приему эвакуируемого населения, материальных и культурных ценностей в безопасные районы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hanging="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Готовность эвакоорганов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5"/>
              <w:tabs>
                <w:tab w:val="clear" w:pos="708"/>
              </w:tabs>
              <w:spacing w:lineRule="auto" w:line="240" w:before="0" w:after="0"/>
              <w:ind w:left="841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8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:Финансирование мероприятий в области защиты населения и территорий от чрезвычайных ситуаций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5"/>
              <w:tabs>
                <w:tab w:val="clear" w:pos="708"/>
              </w:tabs>
              <w:spacing w:lineRule="auto" w:line="240" w:before="0" w:after="0"/>
              <w:ind w:left="841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9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:Создание резервов финансовых и материальных ресурсов для ликвидации чрезвычайных ситуаций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-9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5"/>
              <w:tabs>
                <w:tab w:val="clear" w:pos="708"/>
              </w:tabs>
              <w:spacing w:lineRule="auto" w:line="240" w:before="0" w:after="0"/>
              <w:ind w:left="841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10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:Организация и проведение аварийно-спасательных и других неотложных работ, а также поддержание общественного порядка при их проведении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-9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:Обеспечение деятельности ЕДДС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11 «Информационное общество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муниципальных услуг в электронном виде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муниципальных учреждений (образования, культуры),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приобретенных средств защиты информации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. Создание программно-технологической инфраструктуры для предоставления муниципальных услуг в электронном виде                              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(количество) муниципальных услуг, предоставляемых органами муниципального самоуправления Камышловского городского округа в электронном виде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 (единиц)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25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(17)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45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(30)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населения Камышловского городского округа, получающего муниципальные услуги посредством универсальной электронной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12 «Энергосбережение и повышение энергетической эффективности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color w:val="000000"/>
              </w:rPr>
              <w:t xml:space="preserve">: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 - 60 приборов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(140 домов)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 - 264 прибора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(264 дома)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 - 160 прибора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 приборами учета 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(160 домов)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Снижение потребления топлива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т.у.т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отремонтированных (модернизированных) инженерных сетей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тепло-, водоснабжения и водоотведения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обеспечения тепло-,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13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Создание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Задача:1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.Обеспечение 764 граждан, проживающих в аварийном жилищном фонде, благоустроенным жильем.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домов (70 МКД)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Задача:2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.Улучшение внешнего облика города, развитие городской инфраструктуры, повышение инвестиционной  привлекательности города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малоэтажных домов.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построенных малоэтажных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построенных домов (15 МКД)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14 «Стимулирование развития инфраструктуры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.Подготовка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Включение в границы Камышловского городского округа дополнительные земельные участки сельскохозяйственного назначения под жилищное строительство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территорий, предназначенных для развития жилищного строительства, на которых 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разработаны проекты планировки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введенного жилья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Разработка информационной системы градостроительной деятельности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Внедрение информационной</w:t>
            </w:r>
          </w:p>
          <w:p>
            <w:pPr>
              <w:pStyle w:val="Style31"/>
              <w:ind w:right="-98" w:hanging="0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системы обеспечения градостроительной деятельности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с </w:t>
            </w:r>
          </w:p>
          <w:p>
            <w:pPr>
              <w:pStyle w:val="Style31"/>
              <w:ind w:right="-98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приобретением и установкой </w:t>
            </w:r>
          </w:p>
          <w:p>
            <w:pPr>
              <w:pStyle w:val="Style31"/>
              <w:ind w:right="-26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соответственного  программного </w:t>
            </w:r>
          </w:p>
          <w:p>
            <w:pPr>
              <w:pStyle w:val="Style31"/>
              <w:ind w:right="-26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обеспечения и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 xml:space="preserve">Задача: 4.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Проведение работ по описанию границ территориальных зон и населенных пунктов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Описание границ города Камышлов и внесение сведений в ЕГРН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Title"/>
              <w:widowControl/>
              <w:ind w:right="0" w:hanging="0"/>
              <w:jc w:val="center"/>
              <w:rPr/>
            </w:pPr>
            <w:r>
              <w:rPr>
                <w:rStyle w:val="Style9"/>
                <w:rFonts w:cs="Times New Roman" w:ascii="Liberation Serif" w:hAnsi="Liberation Serif"/>
                <w:i/>
                <w:iCs/>
                <w:sz w:val="24"/>
                <w:szCs w:val="24"/>
              </w:rPr>
              <w:t xml:space="preserve">Подпрограмма 15 «Социальная поддержка отдельных категорий граждан на территории Камышловского городского округа» 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Повышение уровня и качества жизни отдельных категорий граждан путем предоставления различных мер социальной поддержки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Оказание дополнительных мер социальной поддержки, стимулирующего характера для повышения качества жизни граждан отдельных категорий граждан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Кол-во общественных организаций активно участвующих в деятельности администрации и жизни города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льготу (бани)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льготу (автотранспорт)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(756)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(89)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Кол-во граждан (организаций), 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субсидии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 расходов СО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 расходов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граждан, получивших возмещение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граждан, получивших меру социальной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организаций, получивших субсидию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Подпрограмма 16 «Обеспечение реализации мероприятий муниципальной программы 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до 2020 года»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беспечение выполнения муниципального задания.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(шт.)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Процент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4.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исполнения бюджетной сметы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17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Обеспечение единого информационного пространства и удовлетворение потребностей в архивной информации в Камышловском городском округе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архивных документов, включенных в электронные описи,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ind w:right="-108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ind w:right="-108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 в</w:t>
            </w:r>
          </w:p>
          <w:p>
            <w:pPr>
              <w:pStyle w:val="Style31"/>
              <w:ind w:right="-108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Российской Федерации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Президента РФ от 07.02.2012 № 601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архивных документов, включенных в электронные описи, от общего количества документов муниципальной собственности,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ind w:right="-123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ind w:right="-123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ind w:right="-123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</w:t>
            </w:r>
          </w:p>
          <w:p>
            <w:pPr>
              <w:pStyle w:val="Style31"/>
              <w:ind w:right="-123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Российской Федерации</w:t>
            </w:r>
          </w:p>
          <w:p>
            <w:pPr>
              <w:pStyle w:val="Style31"/>
              <w:ind w:right="-123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Президента РФ  от 07.05.2012 № 601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социально-правовых запросов граждан, исполненных 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числа пользователей архивными документами, удовлетворенных качеством муниципальной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Правительства Свердловской области от 25.04.2011 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480-ПП «Об утверждении базового (отраслевого) перечня государственных услуг (работ»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описей дел архива Камышловского городского округа, доступных для поиска и просмотра на портале «Электронный архив Свердловской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Областная программа «Информационное общество Свердловской области» на 2011-2015 годы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выполнения целевых показателей от запланированных на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помещений архива, соответствующих требованиям противопожарного, охранного режимов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Статистическая форма 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1, утверждена приказом Росархива от 12.10.2006 № 59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Росархива от 11.03.1997 № 11 «Об утверждении Регламента государственного учета документов Архивного фонда Российской Федерации»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сотрудников, повысивших в течение года свой профессиональный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 в Российской Федерации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собственности Свердловской области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6283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единиц долговременного и временного хранения, в том числе документов по личному составу, действующих и ликвидированных организаций всех форм собственности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37332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38332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39332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4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.Научное описание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созданных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18 «Строительство (реконструкция)</w:t>
            </w:r>
            <w:r>
              <w:rPr>
                <w:rStyle w:val="Style9"/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9"/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Обеспечение доступности дошкольного образования для детей в возрасте от 3 до 7 лет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7"/>
              <w:rPr/>
            </w:pPr>
            <w:r>
              <w:rPr>
                <w:rStyle w:val="Style9"/>
                <w:rFonts w:cs="Times New Roman"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главы Камышловского городского округа от 11.09.2013 года  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1675 «Об утверждении плана мероприятий («дорожной карты») «Изменения в отраслях социальной сферы, направленные на повышение эффективности образования» в Камышловском городском округе на 2013-2018 годы»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Охват детей-инвалидов дошкольного возраста, проживающих в Камышловском городском округе, обучением на дому,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соответствия состояния зданий и помещений дошкольных образовательных организаций требованиям пожарной безопасности и санитарного законодательства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зданий муниципальных дошкольных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Распоряжение Правительства Российской Федерации от 06.10.2011  № 1757-р (Стратегия социально-экономического развития Уральского федерального округа на период до 2020 года), санитарно-эпидемиологические правила и нормативы, Федеральный закон от 22 июля 2008 года № 123-ФЗ «Технический регламент о требованиях пожарной безопасности»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/>
            </w:pPr>
            <w:r>
              <w:rPr>
                <w:rStyle w:val="Style9"/>
                <w:rFonts w:ascii="Liberation Serif" w:hAnsi="Liberation Serif"/>
                <w:i/>
                <w:iCs/>
                <w:sz w:val="24"/>
                <w:szCs w:val="24"/>
              </w:rPr>
              <w:t>Подпрограмма 19 «Ремонт муниципального жилого фонда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Цель1: 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Создание безопасных и благоприятных условий для проживания граждан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: 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счет средств областного, федерального и местных бюджетов и средств Фонда содействия реформированию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ЖКХ для проведения капитального ремонта МКД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капитального ремонта муниципальных квартир общей площадью не менее 28291,55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Площадь отремонтированного муниципального жилого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Цель 2: 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Повышение качества реформирования жилищно-коммунального хозяйства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Задача: 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Реализация механизма софинансирования работ по капитальному ремонту МКД, проводимому с привлечением средств товариществ собственников жилья, ЖСК, жилищных или иных специализированных потребительских кооперативов, формируемых в соответствии с жилищным законодательством РФ, либо собственников помещений в МКД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общего имущества МКД соразмерно занимаемых площадей муниципальных квартир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отремонтированного общего имущества МКД от общего количества площадей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Площадь муниципального жилого фонда, за который оплачиваются взносы на капитальный ремонт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/>
            </w:pPr>
            <w:r>
              <w:rPr>
                <w:rStyle w:val="Style9"/>
                <w:rFonts w:ascii="Liberation Serif" w:hAnsi="Liberation Serif"/>
                <w:i/>
                <w:sz w:val="24"/>
                <w:szCs w:val="24"/>
              </w:rPr>
              <w:t>Подпрограмма 20 «Переселение граждан из аварийного жилищного фонда в Камышловском городском округе»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62"/>
              <w:shd w:val="clear" w:fill="FFFFFF"/>
              <w:spacing w:lineRule="auto" w:line="240" w:before="0" w:after="0"/>
              <w:ind w:right="-2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Style w:val="Style16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ascii="Liberation Serif" w:hAnsi="Liberation Serif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Задача:</w:t>
            </w:r>
            <w:r>
              <w:rPr>
                <w:rStyle w:val="Style16"/>
                <w:rFonts w:eastAsia="Calibri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 w:ascii="Liberation Serif" w:hAnsi="Liberation Serif"/>
                <w:b w:val="false"/>
                <w:sz w:val="24"/>
                <w:szCs w:val="24"/>
              </w:rPr>
              <w:t>Обеспечение 474 граждан, проживающих в аварийном жилищном фонде, благоустроенным жильем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Количество благоустроенных домов, построенных для переселения граждан из аварийного жилого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/>
            </w:pPr>
            <w:r>
              <w:rPr>
                <w:rStyle w:val="Style9"/>
                <w:rFonts w:ascii="Liberation Serif" w:hAnsi="Liberation Serif"/>
                <w:i/>
                <w:sz w:val="24"/>
                <w:szCs w:val="24"/>
              </w:rPr>
              <w:t>Подпрограмма 21 «Приобретение благоустроенных жилых помещений для переселения граждан из аварийного жилищного фонда в Камышловском городском округе»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62"/>
              <w:shd w:val="clear" w:fill="FFFFFF"/>
              <w:spacing w:lineRule="auto" w:line="240" w:before="0" w:after="0"/>
              <w:ind w:right="-2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Style w:val="Style16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ascii="Liberation Serif" w:hAnsi="Liberation Serif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Задача:</w:t>
            </w:r>
            <w:r>
              <w:rPr>
                <w:rStyle w:val="Style16"/>
                <w:rFonts w:eastAsia="Calibri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 w:ascii="Liberation Serif" w:hAnsi="Liberation Serif"/>
                <w:b w:val="false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>
                <w:rFonts w:ascii="Liberation Serif" w:hAnsi="Liberation Serif"/>
                <w:bCs w:val="false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Cs w:val="false"/>
                <w:i/>
                <w:sz w:val="24"/>
                <w:szCs w:val="24"/>
              </w:rPr>
              <w:t>Подпрограмма 22 «Обеспечение жильем молодых семей»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bCs w:val="false"/>
                <w:sz w:val="24"/>
                <w:szCs w:val="24"/>
              </w:rPr>
              <w:t>Цел</w:t>
            </w:r>
            <w:r>
              <w:rPr>
                <w:rStyle w:val="Style9"/>
                <w:rFonts w:ascii="Liberation Serif" w:hAnsi="Liberation Serif"/>
                <w:b w:val="false"/>
                <w:bCs w:val="false"/>
                <w:sz w:val="24"/>
                <w:szCs w:val="24"/>
              </w:rP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320" w:hRule="atLeast"/>
        </w:trPr>
        <w:tc>
          <w:tcPr>
            <w:tcW w:w="154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bCs w:val="false"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 w:val="false"/>
                <w:bCs w:val="false"/>
                <w:sz w:val="24"/>
                <w:szCs w:val="24"/>
              </w:rPr>
              <w:t>: Предоставление мер государственной поддержки в решении жилищной проблемы молодым семьям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Количество молодых семей, получивших социальную выплату на улучшение жилищных условий.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Количество молодых семей, получивших социальную выплату на улучшение жилищных условий.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Style31"/>
        <w:jc w:val="center"/>
        <w:rPr/>
      </w:pPr>
      <w:r>
        <w:rPr/>
      </w:r>
    </w:p>
    <w:sectPr>
      <w:headerReference w:type="default" r:id="rId2"/>
      <w:type w:val="nextPage"/>
      <w:pgSz w:orient="landscape" w:w="16838" w:h="11906"/>
      <w:pgMar w:left="851" w:right="1134" w:header="720" w:top="851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26</w:t>
    </w:r>
    <w:r>
      <w:rPr/>
      <w:fldChar w:fldCharType="end"/>
    </w:r>
  </w:p>
  <w:p>
    <w:pPr>
      <w:pStyle w:val="Style3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qFormat/>
    <w:pPr>
      <w:widowControl w:val="false"/>
      <w:numPr>
        <w:ilvl w:val="0"/>
        <w:numId w:val="1"/>
      </w:numPr>
      <w:suppressAutoHyphens w:val="true"/>
      <w:spacing w:before="100" w:after="100"/>
      <w:outlineLvl w:val="0"/>
    </w:pPr>
    <w:rPr>
      <w:rFonts w:ascii="Calibri" w:hAnsi="Calibri" w:eastAsia="Calibri" w:cs="Times New Roman"/>
      <w:b/>
      <w:bCs/>
      <w:color w:val="auto"/>
      <w:kern w:val="2"/>
      <w:sz w:val="48"/>
      <w:szCs w:val="48"/>
      <w:lang w:val="ru-RU" w:eastAsia="en-US" w:bidi="ar-SA"/>
    </w:rPr>
  </w:style>
  <w:style w:type="paragraph" w:styleId="2">
    <w:name w:val="Heading 2"/>
    <w:next w:val="Style31"/>
    <w:qFormat/>
    <w:pPr>
      <w:keepNext w:val="true"/>
      <w:keepLines/>
      <w:widowControl w:val="false"/>
      <w:numPr>
        <w:ilvl w:val="1"/>
        <w:numId w:val="1"/>
      </w:numPr>
      <w:suppressAutoHyphens w:val="true"/>
      <w:spacing w:before="200" w:after="160"/>
      <w:outlineLvl w:val="1"/>
    </w:pPr>
    <w:rPr>
      <w:rFonts w:ascii="Calibri Light" w:hAnsi="Calibri Light" w:eastAsia="Calibri" w:cs="Times New Roman"/>
      <w:b/>
      <w:bCs/>
      <w:color w:val="5B9BD5"/>
      <w:kern w:val="0"/>
      <w:sz w:val="26"/>
      <w:szCs w:val="26"/>
      <w:lang w:val="ru-RU" w:eastAsia="en-US" w:bidi="ar-SA"/>
    </w:rPr>
  </w:style>
  <w:style w:type="paragraph" w:styleId="3">
    <w:name w:val="Heading 3"/>
    <w:qFormat/>
    <w:pPr>
      <w:widowControl w:val="false"/>
      <w:numPr>
        <w:ilvl w:val="2"/>
        <w:numId w:val="1"/>
      </w:numPr>
      <w:suppressAutoHyphens w:val="true"/>
      <w:overflowPunct w:val="false"/>
      <w:spacing w:before="100" w:after="100"/>
      <w:textAlignment w:val="auto"/>
      <w:outlineLvl w:val="2"/>
    </w:pPr>
    <w:rPr>
      <w:rFonts w:ascii="Calibri" w:hAnsi="Calibri" w:eastAsia="Calibri" w:cs="Times New Roman"/>
      <w:b/>
      <w:bCs/>
      <w:color w:val="666666"/>
      <w:kern w:val="0"/>
      <w:sz w:val="27"/>
      <w:szCs w:val="27"/>
      <w:lang w:val="ru-RU" w:eastAsia="en-US" w:bidi="ar-SA"/>
    </w:rPr>
  </w:style>
  <w:style w:type="paragraph" w:styleId="4">
    <w:name w:val="Heading 4"/>
    <w:qFormat/>
    <w:pPr>
      <w:widowControl w:val="false"/>
      <w:numPr>
        <w:ilvl w:val="3"/>
        <w:numId w:val="1"/>
      </w:numPr>
      <w:suppressAutoHyphens w:val="true"/>
      <w:overflowPunct w:val="false"/>
      <w:spacing w:before="100" w:after="100"/>
      <w:textAlignment w:val="auto"/>
      <w:outlineLvl w:val="3"/>
    </w:pPr>
    <w:rPr>
      <w:rFonts w:ascii="Calibri" w:hAnsi="Calibri" w:eastAsia="Calibri" w:cs="Times New Roman"/>
      <w:b/>
      <w:bCs/>
      <w:color w:val="auto"/>
      <w:kern w:val="0"/>
      <w:sz w:val="24"/>
      <w:szCs w:val="24"/>
      <w:lang w:val="ru-RU" w:eastAsia="en-US" w:bidi="ar-SA"/>
    </w:rPr>
  </w:style>
  <w:style w:type="paragraph" w:styleId="5">
    <w:name w:val="Heading 5"/>
    <w:next w:val="Style31"/>
    <w:qFormat/>
    <w:pPr>
      <w:widowControl w:val="false"/>
      <w:numPr>
        <w:ilvl w:val="4"/>
        <w:numId w:val="1"/>
      </w:numPr>
      <w:suppressAutoHyphens w:val="true"/>
      <w:overflowPunct w:val="false"/>
      <w:spacing w:before="240" w:after="60"/>
      <w:textAlignment w:val="auto"/>
      <w:outlineLvl w:val="4"/>
    </w:pPr>
    <w:rPr>
      <w:rFonts w:ascii="Calibri" w:hAnsi="Calibri" w:cs="Calibri" w:eastAsia="Calibri"/>
      <w:b/>
      <w:bCs/>
      <w:i/>
      <w:iCs/>
      <w:color w:val="auto"/>
      <w:kern w:val="0"/>
      <w:sz w:val="26"/>
      <w:szCs w:val="26"/>
      <w:lang w:val="ru-RU" w:eastAsia="en-US" w:bidi="ar-SA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ppleconvertedspace">
    <w:name w:val="apple-converted-space"/>
    <w:basedOn w:val="Style9"/>
    <w:qFormat/>
    <w:rPr/>
  </w:style>
  <w:style w:type="character" w:styleId="Style10">
    <w:name w:val="Текст сноски Знак"/>
    <w:basedOn w:val="Style9"/>
    <w:qFormat/>
    <w:rPr>
      <w:rFonts w:ascii="Calibri" w:hAnsi="Calibri" w:eastAsia="Calibri" w:cs="Times New Roman"/>
      <w:sz w:val="20"/>
      <w:szCs w:val="20"/>
    </w:rPr>
  </w:style>
  <w:style w:type="character" w:styleId="Style11">
    <w:name w:val="Знак сноски"/>
    <w:qFormat/>
    <w:rPr>
      <w:sz w:val="14"/>
    </w:rPr>
  </w:style>
  <w:style w:type="character" w:styleId="Style12">
    <w:name w:val="Текст выноски Знак"/>
    <w:basedOn w:val="Style9"/>
    <w:qFormat/>
    <w:rPr>
      <w:rFonts w:ascii="Segoe UI" w:hAnsi="Segoe UI" w:cs="Segoe UI"/>
      <w:sz w:val="18"/>
      <w:szCs w:val="18"/>
    </w:rPr>
  </w:style>
  <w:style w:type="character" w:styleId="21">
    <w:name w:val="Заголовок 2 Знак"/>
    <w:basedOn w:val="Style9"/>
    <w:qFormat/>
    <w:rPr>
      <w:rFonts w:ascii="Calibri Light" w:hAnsi="Calibri Light" w:eastAsia="Times New Roman" w:cs="Times New Roman"/>
      <w:b/>
      <w:bCs/>
      <w:color w:val="5B9BD5"/>
      <w:sz w:val="26"/>
      <w:szCs w:val="26"/>
    </w:rPr>
  </w:style>
  <w:style w:type="character" w:styleId="Style13">
    <w:name w:val="Основной текст_"/>
    <w:basedOn w:val="Style9"/>
    <w:qFormat/>
    <w:rPr>
      <w:rFonts w:ascii="Times New Roman" w:hAnsi="Times New Roman" w:eastAsia="Times New Roman" w:cs="Times New Roman"/>
      <w:sz w:val="27"/>
      <w:szCs w:val="27"/>
      <w:highlight w:val="white"/>
    </w:rPr>
  </w:style>
  <w:style w:type="character" w:styleId="115pt">
    <w:name w:val="Основной текст + 11;5 pt;Полужирный;Малые прописные"/>
    <w:basedOn w:val="Style13"/>
    <w:qFormat/>
    <w:rPr>
      <w:rFonts w:ascii="Times New Roman" w:hAnsi="Times New Roman" w:eastAsia="Times New Roman" w:cs="Times New Roman"/>
      <w:b/>
      <w:bCs/>
      <w:smallCaps/>
      <w:color w:val="000000"/>
      <w:spacing w:val="0"/>
      <w:w w:val="100"/>
      <w:position w:val="0"/>
      <w:sz w:val="23"/>
      <w:sz w:val="23"/>
      <w:szCs w:val="23"/>
      <w:highlight w:val="white"/>
      <w:vertAlign w:val="baseline"/>
      <w:lang w:val="ru-RU"/>
    </w:rPr>
  </w:style>
  <w:style w:type="character" w:styleId="115pt1">
    <w:name w:val="Основной текст + 11;5 pt;Полужирный"/>
    <w:basedOn w:val="Style13"/>
    <w:qFormat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 w:val="23"/>
      <w:szCs w:val="23"/>
      <w:highlight w:val="white"/>
      <w:vertAlign w:val="baseline"/>
      <w:lang w:val="ru-RU"/>
    </w:rPr>
  </w:style>
  <w:style w:type="character" w:styleId="14pt">
    <w:name w:val="Основной текст + 14 pt;Курсив"/>
    <w:basedOn w:val="Style13"/>
    <w:qFormat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8"/>
      <w:sz w:val="28"/>
      <w:szCs w:val="28"/>
      <w:highlight w:val="white"/>
      <w:vertAlign w:val="baseline"/>
    </w:rPr>
  </w:style>
  <w:style w:type="character" w:styleId="31">
    <w:name w:val="Заголовок 3 Знак"/>
    <w:basedOn w:val="Style9"/>
    <w:qFormat/>
    <w:rPr>
      <w:rFonts w:ascii="Times New Roman" w:hAnsi="Times New Roman" w:eastAsia="Times New Roman" w:cs="Times New Roman"/>
      <w:b/>
      <w:bCs/>
      <w:color w:val="666666"/>
      <w:sz w:val="27"/>
      <w:szCs w:val="27"/>
      <w:lang w:eastAsia="ru-RU"/>
    </w:rPr>
  </w:style>
  <w:style w:type="character" w:styleId="41">
    <w:name w:val="Заголовок 4 Знак"/>
    <w:basedOn w:val="Style9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>
    <w:name w:val="Заголовок 5 Знак"/>
    <w:basedOn w:val="Style9"/>
    <w:qFormat/>
    <w:rPr>
      <w:rFonts w:ascii="Calibri" w:hAnsi="Calibri" w:eastAsia="Times New Roman" w:cs="Calibri"/>
      <w:b/>
      <w:bCs/>
      <w:i/>
      <w:iCs/>
      <w:sz w:val="26"/>
      <w:szCs w:val="26"/>
      <w:lang w:eastAsia="ru-RU"/>
    </w:rPr>
  </w:style>
  <w:style w:type="character" w:styleId="Heading2Char">
    <w:name w:val="Heading 2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eading3Char">
    <w:name w:val="Heading 3 Char"/>
    <w:basedOn w:val="Style9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Heading4Char">
    <w:name w:val="Heading 4 Char"/>
    <w:basedOn w:val="Style9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22">
    <w:name w:val="Основной текст 2 Знак"/>
    <w:basedOn w:val="Style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BalloonTextChar">
    <w:name w:val="Balloon Text Char"/>
    <w:basedOn w:val="Style9"/>
    <w:qFormat/>
    <w:rPr>
      <w:rFonts w:ascii="Tahoma" w:hAnsi="Tahoma" w:cs="Tahoma"/>
      <w:sz w:val="16"/>
      <w:szCs w:val="16"/>
      <w:lang w:eastAsia="ru-RU"/>
    </w:rPr>
  </w:style>
  <w:style w:type="character" w:styleId="HTML">
    <w:name w:val="Стандартный HTML Знак"/>
    <w:basedOn w:val="Style9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0">
    <w:name w:val="Знак Знак10"/>
    <w:basedOn w:val="Style9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Style14">
    <w:name w:val="Верхний колонтитул Знак"/>
    <w:basedOn w:val="Style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HeaderChar">
    <w:name w:val="Header Char"/>
    <w:basedOn w:val="Style9"/>
    <w:qFormat/>
    <w:rPr>
      <w:sz w:val="20"/>
      <w:szCs w:val="20"/>
    </w:rPr>
  </w:style>
  <w:style w:type="character" w:styleId="32">
    <w:name w:val="Основной текст с отступом 3 Знак"/>
    <w:basedOn w:val="Style9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BodyTextIndent3Char">
    <w:name w:val="Body Text Indent 3 Char"/>
    <w:basedOn w:val="Style9"/>
    <w:qFormat/>
    <w:rPr>
      <w:sz w:val="16"/>
      <w:szCs w:val="16"/>
    </w:rPr>
  </w:style>
  <w:style w:type="character" w:styleId="Style15">
    <w:name w:val="Основной текст Знак"/>
    <w:basedOn w:val="Style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odyTextChar">
    <w:name w:val="Body Text Char"/>
    <w:basedOn w:val="Style9"/>
    <w:qFormat/>
    <w:rPr>
      <w:sz w:val="20"/>
      <w:szCs w:val="20"/>
    </w:rPr>
  </w:style>
  <w:style w:type="character" w:styleId="6">
    <w:name w:val="Знак Знак6"/>
    <w:basedOn w:val="Style9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6">
    <w:name w:val="Гиперссылка"/>
    <w:basedOn w:val="Style9"/>
    <w:qFormat/>
    <w:rPr>
      <w:color w:val="0000FF"/>
      <w:u w:val="single"/>
    </w:rPr>
  </w:style>
  <w:style w:type="character" w:styleId="Applestylespan">
    <w:name w:val="apple-style-span"/>
    <w:basedOn w:val="Style9"/>
    <w:qFormat/>
    <w:rPr/>
  </w:style>
  <w:style w:type="character" w:styleId="42">
    <w:name w:val="Знак Знак4"/>
    <w:basedOn w:val="Style9"/>
    <w:qFormat/>
    <w:rPr>
      <w:rFonts w:ascii="Courier New" w:hAnsi="Courier New" w:eastAsia="Times New Roman" w:cs="Courier New"/>
    </w:rPr>
  </w:style>
  <w:style w:type="character" w:styleId="FontStyle11">
    <w:name w:val="Font Style11"/>
    <w:basedOn w:val="Style9"/>
    <w:qFormat/>
    <w:rPr>
      <w:rFonts w:ascii="Courier New" w:hAnsi="Courier New" w:cs="Courier New"/>
      <w:spacing w:val="-10"/>
      <w:sz w:val="26"/>
      <w:szCs w:val="26"/>
    </w:rPr>
  </w:style>
  <w:style w:type="character" w:styleId="Style17">
    <w:name w:val="Основной текст с отступом Знак"/>
    <w:basedOn w:val="Style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odyTextIndentChar">
    <w:name w:val="Body Text Indent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Ts21">
    <w:name w:val="ts21"/>
    <w:basedOn w:val="Style9"/>
    <w:qFormat/>
    <w:rPr>
      <w:rFonts w:ascii="Times New Roman" w:hAnsi="Times New Roman" w:cs="Times New Roman"/>
      <w:color w:val="884706"/>
      <w:sz w:val="32"/>
      <w:szCs w:val="32"/>
    </w:rPr>
  </w:style>
  <w:style w:type="character" w:styleId="611pt">
    <w:name w:val="Основной текст (6) + 11 pt"/>
    <w:basedOn w:val="Style9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Style18">
    <w:name w:val="Строгий"/>
    <w:basedOn w:val="Style9"/>
    <w:qFormat/>
    <w:rPr>
      <w:b/>
      <w:bCs/>
    </w:rPr>
  </w:style>
  <w:style w:type="character" w:styleId="Style19">
    <w:name w:val="Выделение"/>
    <w:basedOn w:val="Style9"/>
    <w:qFormat/>
    <w:rPr>
      <w:i/>
      <w:iCs/>
    </w:rPr>
  </w:style>
  <w:style w:type="character" w:styleId="Style20">
    <w:name w:val="Нижний колонтитул Знак"/>
    <w:basedOn w:val="Style9"/>
    <w:qFormat/>
    <w:rPr>
      <w:rFonts w:ascii="Calibri" w:hAnsi="Calibri" w:eastAsia="Times New Roman" w:cs="Calibri"/>
    </w:rPr>
  </w:style>
  <w:style w:type="character" w:styleId="FooterChar">
    <w:name w:val="Footer Char"/>
    <w:basedOn w:val="Style9"/>
    <w:qFormat/>
    <w:rPr>
      <w:sz w:val="20"/>
      <w:szCs w:val="20"/>
    </w:rPr>
  </w:style>
  <w:style w:type="character" w:styleId="61">
    <w:name w:val="Основной текст (6)_"/>
    <w:basedOn w:val="Style9"/>
    <w:qFormat/>
    <w:rPr>
      <w:sz w:val="21"/>
      <w:szCs w:val="21"/>
      <w:highlight w:val="white"/>
    </w:rPr>
  </w:style>
  <w:style w:type="character" w:styleId="Style21">
    <w:name w:val="*П-ПОСТАНОВЛЯЮ: Знак"/>
    <w:qFormat/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character" w:styleId="Style22">
    <w:name w:val="Текст Знак"/>
    <w:basedOn w:val="Style9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PlainTextChar">
    <w:name w:val="Plain Text Char"/>
    <w:basedOn w:val="Style9"/>
    <w:qFormat/>
    <w:rPr>
      <w:rFonts w:ascii="Courier New" w:hAnsi="Courier New" w:cs="Courier New"/>
      <w:sz w:val="20"/>
      <w:szCs w:val="20"/>
    </w:rPr>
  </w:style>
  <w:style w:type="character" w:styleId="FootnoteTextChar">
    <w:name w:val="Footnote Text Char"/>
    <w:basedOn w:val="Style9"/>
    <w:qFormat/>
    <w:rPr>
      <w:sz w:val="20"/>
      <w:szCs w:val="20"/>
    </w:rPr>
  </w:style>
  <w:style w:type="character" w:styleId="Style23">
    <w:name w:val="Номер страницы"/>
    <w:basedOn w:val="Style9"/>
    <w:rPr/>
  </w:style>
  <w:style w:type="character" w:styleId="23">
    <w:name w:val="Основной текст с отступом 2 Знак"/>
    <w:basedOn w:val="Style9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4">
    <w:name w:val="Привязка сноски"/>
    <w:qFormat/>
    <w:rPr>
      <w:vertAlign w:val="superscript"/>
    </w:rPr>
  </w:style>
  <w:style w:type="character" w:styleId="Style25">
    <w:name w:val="Символ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7">
    <w:name w:val="Body Text"/>
    <w:pPr>
      <w:widowControl w:val="false"/>
      <w:suppressAutoHyphens w:val="true"/>
      <w:overflowPunct w:val="false"/>
      <w:spacing w:before="0" w:after="120"/>
      <w:textAlignment w:val="auto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28">
    <w:name w:val="List"/>
    <w:basedOn w:val="Style27"/>
    <w:pPr/>
    <w:rPr>
      <w:rFonts w:cs="Lucida 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30">
    <w:name w:val="Указатель"/>
    <w:basedOn w:val="Normal"/>
    <w:qFormat/>
    <w:pPr>
      <w:suppressLineNumbers/>
    </w:pPr>
    <w:rPr>
      <w:rFonts w:cs="Lucida Sans"/>
    </w:rPr>
  </w:style>
  <w:style w:type="paragraph" w:styleId="Style31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2">
    <w:name w:val="Обычный (веб)"/>
    <w:basedOn w:val="Style31"/>
    <w:qFormat/>
    <w:pPr>
      <w:suppressAutoHyphens w:val="true"/>
      <w:spacing w:before="100" w:after="100"/>
    </w:pPr>
    <w:rPr>
      <w:sz w:val="24"/>
      <w:szCs w:val="24"/>
    </w:rPr>
  </w:style>
  <w:style w:type="paragraph" w:styleId="Style33">
    <w:name w:val="Абзац списка"/>
    <w:basedOn w:val="Style31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/>
    </w:rPr>
  </w:style>
  <w:style w:type="paragraph" w:styleId="Style34">
    <w:name w:val="Текст сноски"/>
    <w:basedOn w:val="Style31"/>
    <w:qFormat/>
    <w:pPr>
      <w:suppressAutoHyphens w:val="true"/>
    </w:pPr>
    <w:rPr>
      <w:rFonts w:ascii="Calibri" w:hAnsi="Calibri" w:eastAsia="Calibri"/>
    </w:rPr>
  </w:style>
  <w:style w:type="paragraph" w:styleId="Style35">
    <w:name w:val="Текст выноски"/>
    <w:basedOn w:val="Style31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24">
    <w:name w:val="Основной текст2"/>
    <w:basedOn w:val="Style31"/>
    <w:qFormat/>
    <w:pPr>
      <w:widowControl w:val="false"/>
      <w:shd w:val="clear" w:fill="FFFFFF"/>
      <w:suppressAutoHyphens w:val="true"/>
      <w:spacing w:lineRule="exact" w:line="326" w:before="300" w:after="160"/>
      <w:jc w:val="both"/>
    </w:pPr>
    <w:rPr>
      <w:sz w:val="27"/>
      <w:szCs w:val="27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paragraph" w:styleId="25">
    <w:name w:val="Основной текст 2"/>
    <w:basedOn w:val="Style31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36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HTML1">
    <w:name w:val="Стандартный HTML"/>
    <w:basedOn w:val="Style31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false"/>
      <w:textAlignment w:val="auto"/>
    </w:pPr>
    <w:rPr>
      <w:rFonts w:ascii="Courier New" w:hAnsi="Courier New" w:cs="Courier New"/>
    </w:rPr>
  </w:style>
  <w:style w:type="paragraph" w:styleId="Style37">
    <w:name w:val="Прижатый влево"/>
    <w:basedOn w:val="Style31"/>
    <w:next w:val="Style31"/>
    <w:qFormat/>
    <w:pPr>
      <w:widowControl w:val="false"/>
      <w:suppressAutoHyphens w:val="true"/>
      <w:overflowPunct w:val="false"/>
      <w:textAlignment w:val="auto"/>
    </w:pPr>
    <w:rPr>
      <w:rFonts w:ascii="Arial" w:hAnsi="Arial" w:cs="Arial"/>
      <w:sz w:val="24"/>
      <w:szCs w:val="24"/>
    </w:rPr>
  </w:style>
  <w:style w:type="paragraph" w:styleId="Style38">
    <w:name w:val="Знак Знак Знак"/>
    <w:basedOn w:val="Style31"/>
    <w:qFormat/>
    <w:pPr>
      <w:suppressAutoHyphens w:val="true"/>
      <w:overflowPunct w:val="fals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right="19772" w:hanging="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1">
    <w:name w:val="Основной текст 21"/>
    <w:basedOn w:val="Style31"/>
    <w:qFormat/>
    <w:pPr>
      <w:suppressAutoHyphens w:val="true"/>
      <w:overflowPunct w:val="false"/>
      <w:ind w:right="4535" w:hanging="0"/>
      <w:textAlignment w:val="auto"/>
    </w:pPr>
    <w:rPr>
      <w:sz w:val="28"/>
      <w:szCs w:val="28"/>
      <w:lang w:eastAsia="ar-SA"/>
    </w:rPr>
  </w:style>
  <w:style w:type="paragraph" w:styleId="Style39">
    <w:name w:val="Header"/>
    <w:basedOn w:val="Style31"/>
    <w:pPr>
      <w:tabs>
        <w:tab w:val="clear" w:pos="708"/>
        <w:tab w:val="center" w:pos="4153" w:leader="none"/>
        <w:tab w:val="right" w:pos="8306" w:leader="none"/>
      </w:tabs>
      <w:suppressAutoHyphens w:val="true"/>
      <w:overflowPunct w:val="false"/>
      <w:textAlignment w:val="auto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33">
    <w:name w:val="Основной текст с отступом 3"/>
    <w:basedOn w:val="Style31"/>
    <w:qFormat/>
    <w:pPr>
      <w:tabs>
        <w:tab w:val="clear" w:pos="708"/>
      </w:tabs>
      <w:suppressAutoHyphens w:val="true"/>
      <w:overflowPunct w:val="false"/>
      <w:spacing w:before="0" w:after="120"/>
      <w:ind w:left="283" w:hanging="0"/>
      <w:textAlignment w:val="auto"/>
    </w:pPr>
    <w:rPr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40">
    <w:name w:val="Знак Знак Знак Знак Знак Знак Знак"/>
    <w:basedOn w:val="Style31"/>
    <w:qFormat/>
    <w:pPr>
      <w:suppressAutoHyphens w:val="true"/>
      <w:overflowPunct w:val="false"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styleId="13">
    <w:name w:val="Абзац списка1"/>
    <w:basedOn w:val="Style31"/>
    <w:qFormat/>
    <w:pPr>
      <w:tabs>
        <w:tab w:val="clear" w:pos="708"/>
      </w:tabs>
      <w:suppressAutoHyphens w:val="true"/>
      <w:overflowPunct w:val="false"/>
      <w:spacing w:lineRule="auto" w:line="276" w:before="0" w:after="200"/>
      <w:ind w:left="72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41">
    <w:name w:val="Body Text Indent"/>
    <w:basedOn w:val="Style31"/>
    <w:pPr>
      <w:tabs>
        <w:tab w:val="clear" w:pos="708"/>
      </w:tabs>
      <w:suppressAutoHyphens w:val="true"/>
      <w:overflowPunct w:val="false"/>
      <w:spacing w:before="0" w:after="120"/>
      <w:ind w:left="283" w:hanging="0"/>
      <w:textAlignment w:val="auto"/>
    </w:pPr>
    <w:rPr>
      <w:sz w:val="24"/>
      <w:szCs w:val="24"/>
    </w:rPr>
  </w:style>
  <w:style w:type="paragraph" w:styleId="Style42">
    <w:name w:val="Footer"/>
    <w:basedOn w:val="Style31"/>
    <w:pPr>
      <w:tabs>
        <w:tab w:val="clear" w:pos="708"/>
        <w:tab w:val="center" w:pos="4677" w:leader="none"/>
        <w:tab w:val="right" w:pos="9355" w:leader="none"/>
      </w:tabs>
      <w:suppressAutoHyphens w:val="true"/>
      <w:overflowPunct w:val="false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62">
    <w:name w:val="Основной текст (6)"/>
    <w:basedOn w:val="Style31"/>
    <w:qFormat/>
    <w:pPr>
      <w:shd w:val="clear" w:fill="FFFFFF"/>
      <w:suppressAutoHyphens w:val="true"/>
      <w:overflowPunct w:val="false"/>
      <w:spacing w:lineRule="exact" w:line="269" w:before="0" w:after="1320"/>
      <w:ind w:hanging="1300"/>
      <w:jc w:val="right"/>
      <w:textAlignment w:val="auto"/>
    </w:pPr>
    <w:rPr>
      <w:rFonts w:ascii="Calibri" w:hAnsi="Calibri" w:eastAsia="Calibri"/>
      <w:sz w:val="21"/>
      <w:szCs w:val="21"/>
      <w:highlight w:val="white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43">
    <w:name w:val="*П-ПОСТАНОВЛЯЮ:"/>
    <w:basedOn w:val="Style31"/>
    <w:qFormat/>
    <w:pPr>
      <w:suppressAutoHyphens w:val="true"/>
      <w:overflowPunct w:val="false"/>
      <w:jc w:val="both"/>
      <w:textAlignment w:val="auto"/>
    </w:pPr>
    <w:rPr>
      <w:b/>
      <w:bCs/>
      <w:color w:val="000000"/>
      <w:sz w:val="28"/>
      <w:szCs w:val="28"/>
    </w:rPr>
  </w:style>
  <w:style w:type="paragraph" w:styleId="Style44">
    <w:name w:val="Текст"/>
    <w:basedOn w:val="Style31"/>
    <w:qFormat/>
    <w:pPr>
      <w:suppressAutoHyphens w:val="true"/>
      <w:overflowPunct w:val="false"/>
      <w:textAlignment w:val="auto"/>
    </w:pPr>
    <w:rPr>
      <w:rFonts w:ascii="Courier New" w:hAnsi="Courier New" w:cs="Courier New"/>
    </w:rPr>
  </w:style>
  <w:style w:type="paragraph" w:styleId="311">
    <w:name w:val="Основной текст с отступом 31"/>
    <w:basedOn w:val="Style31"/>
    <w:qFormat/>
    <w:pPr>
      <w:suppressAutoHyphens w:val="true"/>
      <w:overflowPunct w:val="false"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312">
    <w:name w:val="Основной текст 31"/>
    <w:basedOn w:val="Style31"/>
    <w:qFormat/>
    <w:pPr>
      <w:suppressAutoHyphens w:val="true"/>
      <w:overflowPunct w:val="false"/>
      <w:jc w:val="both"/>
      <w:textAlignment w:val="auto"/>
    </w:pPr>
    <w:rPr>
      <w:sz w:val="28"/>
      <w:szCs w:val="28"/>
      <w:lang w:eastAsia="ar-SA"/>
    </w:rPr>
  </w:style>
  <w:style w:type="paragraph" w:styleId="Style45">
    <w:name w:val="Нормальный (таблица)"/>
    <w:basedOn w:val="Style31"/>
    <w:next w:val="Style31"/>
    <w:qFormat/>
    <w:pPr>
      <w:widowControl w:val="false"/>
      <w:suppressAutoHyphens w:val="true"/>
      <w:overflowPunct w:val="false"/>
      <w:jc w:val="both"/>
      <w:textAlignment w:val="auto"/>
    </w:pPr>
    <w:rPr>
      <w:rFonts w:ascii="Arial" w:hAnsi="Arial" w:cs="Arial"/>
      <w:sz w:val="24"/>
      <w:szCs w:val="24"/>
    </w:rPr>
  </w:style>
  <w:style w:type="paragraph" w:styleId="26">
    <w:name w:val="Основной текст с отступом 2"/>
    <w:basedOn w:val="Style31"/>
    <w:qFormat/>
    <w:pPr>
      <w:tabs>
        <w:tab w:val="clear" w:pos="708"/>
      </w:tabs>
      <w:suppressAutoHyphens w:val="true"/>
      <w:overflowPunct w:val="false"/>
      <w:spacing w:lineRule="auto" w:line="480" w:before="0" w:after="120"/>
      <w:ind w:left="283" w:hanging="0"/>
      <w:textAlignment w:val="auto"/>
    </w:pPr>
    <w:rPr>
      <w:sz w:val="28"/>
      <w:szCs w:val="28"/>
    </w:rPr>
  </w:style>
  <w:style w:type="paragraph" w:styleId="14">
    <w:name w:val="Основной текст1"/>
    <w:basedOn w:val="Style31"/>
    <w:qFormat/>
    <w:pPr>
      <w:shd w:val="clear" w:fill="FFFFFF"/>
      <w:suppressAutoHyphens w:val="true"/>
      <w:overflowPunct w:val="fals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46">
    <w:name w:val="Таблицы (моноширинный)"/>
    <w:basedOn w:val="Style31"/>
    <w:next w:val="Style31"/>
    <w:qFormat/>
    <w:pPr>
      <w:widowControl w:val="false"/>
      <w:suppressAutoHyphens w:val="true"/>
      <w:overflowPunct w:val="fals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Style4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LibreOffice/6.1.4.2$Windows_X86_64 LibreOffice_project/9d0f32d1f0b509096fd65e0d4bec26ddd1938fd3</Application>
  <Pages>26</Pages>
  <Words>4344</Words>
  <Characters>28714</Characters>
  <CharactersWithSpaces>31845</CharactersWithSpaces>
  <Paragraphs>1344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2019-03-07T08:23:00Z</dcterms:created>
  <dc:creator>Наталья Витальевна</dc:creator>
  <dc:description/>
  <dc:language>ru-RU</dc:language>
  <cp:lastModifiedBy/>
  <cp:lastPrinted>2019-03-14T11:49:31Z</cp:lastPrinted>
  <dcterms:modified xsi:type="dcterms:W3CDTF">2019-03-14T11:50:29Z</dcterms:modified>
  <cp:revision>4</cp:revision>
  <dc:subject/>
  <dc:title/>
</cp:coreProperties>
</file>