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48" w:type="dxa"/>
        <w:tblInd w:w="-106" w:type="dxa"/>
        <w:tblLook w:val="0000" w:firstRow="0" w:lastRow="0" w:firstColumn="0" w:lastColumn="0" w:noHBand="0" w:noVBand="0"/>
      </w:tblPr>
      <w:tblGrid>
        <w:gridCol w:w="10728"/>
        <w:gridCol w:w="4320"/>
      </w:tblGrid>
      <w:tr w:rsidR="00C06E50">
        <w:tc>
          <w:tcPr>
            <w:tcW w:w="10728" w:type="dxa"/>
            <w:shd w:val="clear" w:color="auto" w:fill="auto"/>
          </w:tcPr>
          <w:p w:rsidR="00C06E50" w:rsidRDefault="00C06E50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20" w:type="dxa"/>
            <w:shd w:val="clear" w:color="auto" w:fill="auto"/>
          </w:tcPr>
          <w:p w:rsidR="00C06E50" w:rsidRDefault="009D74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Приложение № 1</w:t>
            </w:r>
          </w:p>
          <w:p w:rsidR="00C06E50" w:rsidRDefault="009D74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 муниципальной программе «Развитие социально-экономического комплекса Камышловского городского округа до 2020 года»</w:t>
            </w:r>
          </w:p>
        </w:tc>
      </w:tr>
    </w:tbl>
    <w:p w:rsidR="00C06E50" w:rsidRDefault="00C06E50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C06E50" w:rsidRDefault="009D745B">
      <w:pPr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Цели, задачи и целевые показатели реализации муниципальной программы</w:t>
      </w:r>
    </w:p>
    <w:p w:rsidR="00C06E50" w:rsidRDefault="009D745B">
      <w:pPr>
        <w:pStyle w:val="ConsPlusCel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«Развитие социально-экономического комплекса Камышловского городского округа до 2020 года» </w:t>
      </w:r>
    </w:p>
    <w:p w:rsidR="00C06E50" w:rsidRDefault="00C06E50">
      <w:pPr>
        <w:pStyle w:val="ConsPlusCell"/>
        <w:jc w:val="center"/>
        <w:rPr>
          <w:rFonts w:ascii="Liberation Serif" w:hAnsi="Liberation Serif"/>
          <w:sz w:val="24"/>
          <w:szCs w:val="24"/>
        </w:rPr>
      </w:pPr>
    </w:p>
    <w:tbl>
      <w:tblPr>
        <w:tblW w:w="15451" w:type="dxa"/>
        <w:tblInd w:w="-73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7"/>
        <w:gridCol w:w="2909"/>
        <w:gridCol w:w="2069"/>
        <w:gridCol w:w="1030"/>
        <w:gridCol w:w="276"/>
        <w:gridCol w:w="661"/>
        <w:gridCol w:w="282"/>
        <w:gridCol w:w="675"/>
        <w:gridCol w:w="267"/>
        <w:gridCol w:w="1026"/>
        <w:gridCol w:w="142"/>
        <w:gridCol w:w="825"/>
        <w:gridCol w:w="117"/>
        <w:gridCol w:w="942"/>
        <w:gridCol w:w="1092"/>
        <w:gridCol w:w="2291"/>
      </w:tblGrid>
      <w:tr w:rsidR="00C06E50">
        <w:trPr>
          <w:trHeight w:val="48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строки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Наименование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 цели (целей) и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 задач, целевых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 показателей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Единица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измерения</w:t>
            </w:r>
          </w:p>
        </w:tc>
        <w:tc>
          <w:tcPr>
            <w:tcW w:w="7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Значение целевого показателя реализации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муниципальной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Источ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ник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 значений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показателей</w:t>
            </w:r>
          </w:p>
        </w:tc>
      </w:tr>
      <w:tr w:rsidR="00C06E50">
        <w:trPr>
          <w:trHeight w:val="3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2014</w:t>
            </w:r>
          </w:p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right="-6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2017</w:t>
            </w:r>
          </w:p>
          <w:p w:rsidR="00C06E50" w:rsidRDefault="009D745B">
            <w:pPr>
              <w:pStyle w:val="ConsPlusCell"/>
              <w:ind w:right="-6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2018</w:t>
            </w:r>
          </w:p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2019</w:t>
            </w:r>
          </w:p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</w:t>
            </w:r>
          </w:p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/>
        </w:tc>
      </w:tr>
      <w:tr w:rsidR="00C06E50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C06E50">
        <w:tc>
          <w:tcPr>
            <w:tcW w:w="15451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1 «Информационное обеспечение деятельности администрации</w:t>
            </w:r>
          </w:p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Камышловского городского округа»</w:t>
            </w:r>
          </w:p>
        </w:tc>
      </w:tr>
      <w:tr w:rsidR="00C06E50">
        <w:tc>
          <w:tcPr>
            <w:tcW w:w="15451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Fonts w:ascii="Liberation Serif" w:hAnsi="Liberation Serif"/>
                <w:sz w:val="24"/>
                <w:szCs w:val="24"/>
              </w:rPr>
              <w:t>: 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беспечение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информационной открытости администрации городского округа и реализации права граждан на получение с учетом актуальных потребностей гражданского общества полной и объективной информации экономической и социальной направленности </w:t>
            </w:r>
          </w:p>
        </w:tc>
      </w:tr>
      <w:tr w:rsidR="00C06E50">
        <w:tc>
          <w:tcPr>
            <w:tcW w:w="15451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</w:t>
            </w:r>
            <w:r>
              <w:rPr>
                <w:rFonts w:ascii="Liberation Serif" w:hAnsi="Liberation Serif"/>
                <w:sz w:val="24"/>
                <w:szCs w:val="24"/>
              </w:rPr>
              <w:t>: О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>рганизация информи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>рования населения городского округа через средства массовой информации о деятельности администрации городского округа, в том числе широкого и последовательного освещения реализации приоритетных направлений социально-экономического развития городского округ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>а, участия его в реализации федеральных, региональных программ, проектов и мероприятий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Количество информационных материалов </w:t>
            </w:r>
          </w:p>
          <w:p w:rsidR="00C06E50" w:rsidRDefault="00C06E50"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(ед.)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Доля НПА и иных материалов, подлежащих обязательному опубликованию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(%)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2 «Развитие малого и среднего предпринимательства на территории Камышловского городского округа»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: Содействие развитию малого и среднего предпринимательства на территории Камышловского городского округа и повышения их </w:t>
            </w:r>
            <w:r>
              <w:rPr>
                <w:rFonts w:ascii="Liberation Serif" w:hAnsi="Liberation Serif"/>
                <w:sz w:val="24"/>
                <w:szCs w:val="24"/>
              </w:rPr>
              <w:t>конкурентоспособности, обеспечение занятости и самозанятости населения Камышловского городского округа.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1</w:t>
            </w:r>
            <w:r>
              <w:rPr>
                <w:rFonts w:ascii="Liberation Serif" w:hAnsi="Liberation Serif"/>
                <w:sz w:val="24"/>
                <w:szCs w:val="24"/>
              </w:rPr>
              <w:t>: Совершенствование внешней среды развития малого и среднего предпринимательства.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субъектов малого и среднего предпринимательств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 в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КГО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1160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1175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Задача 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: Финансовая поддержка субъектов малого и среднего предпринимательства 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Число субъектов малого и среднего предпринимательства на 10 тыс.человек населения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43,05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</w:pPr>
            <w:r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>3.«Благоустройство и озеленение Камышловского городского округа»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Fonts w:ascii="Liberation Serif" w:hAnsi="Liberation Serif"/>
                <w:sz w:val="24"/>
                <w:szCs w:val="24"/>
              </w:rPr>
              <w:t>: Совершенствование системы благоустройства и озеленения Камышловского городского округа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1:</w:t>
            </w:r>
            <w:r>
              <w:rPr>
                <w:rFonts w:ascii="Liberation Serif" w:hAnsi="Liberation Serif"/>
              </w:rPr>
              <w:t xml:space="preserve"> П</w:t>
            </w:r>
            <w:r>
              <w:rPr>
                <w:rFonts w:ascii="Liberation Serif" w:hAnsi="Liberation Serif"/>
                <w:sz w:val="24"/>
                <w:szCs w:val="24"/>
              </w:rPr>
              <w:t>овышение уровня благоустройства города</w:t>
            </w:r>
            <w:r>
              <w:rPr>
                <w:rFonts w:ascii="Liberation Serif" w:hAnsi="Liberation Serif"/>
              </w:rPr>
              <w:t>.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Благоустройство площади, скверов и парков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Доля благоустроенных площадей, скверов и парков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светоточек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1463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1522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 2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:Улучшение санитарного и эстетического состояния города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Обрезка и валка аварийных деревьев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 обращениям граждан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Доля обрезанных и ликвидированных аварийных деревьев от общего количества деревьев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от общего количества деревьев 1270 шт. 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Количество мест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захоронения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созданных контейнерных площадок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отремонтированных мест накопления ТКО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4.«Развитие транспортного комплекса Камышловского городского округа»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both"/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Цель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: Обеспечение нормального и безопасного транспортного сообщения по автомобильным дорогам общего пользования Камышловского городского округа 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Задача1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Ремонт автомобильных дорог города, увеличивая протяженность дорог с усовершенствованным покрытием дорожно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го полотна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Протяженность отремонтированных дорог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Доля отремонтированных дорог от общего количества дорог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 2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 Повышение надежности работы специализированной и дорожно-строительной техники и обновление парка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коммунальной техники для повышения эффективности выполнения ремонтных работ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Обновление парка дорожно- строительной и коммунальной техники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Доля дорожно- строительной и коммунальной техники от общего количества техники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5."Развитие газификации в Камышловском городском округе"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jc w:val="both"/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1.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Развитие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газовых сетей в целях увеличения объема потребления природного газа населением, повышение уровня газификации Камышловского городского округа</w:t>
            </w:r>
            <w:r>
              <w:rPr>
                <w:rFonts w:ascii="Liberation Serif" w:hAnsi="Liberation Serif"/>
                <w:color w:val="000000"/>
              </w:rPr>
              <w:t>.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Увеличение протяженности газопроводов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км.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Годовое увеличение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потребления природного газа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млн.м</w:t>
            </w:r>
            <w:r>
              <w:rPr>
                <w:rFonts w:ascii="Liberation Serif" w:hAnsi="Liberation Serif"/>
                <w:color w:val="000000"/>
                <w:position w:val="8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Увеличение газифицированных домовладений (квартир) природным газом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 2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.Применение передовых технологий, современных строительных материалов и оборудования при строительстве объектов газификации, в том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числе строительство газопроводов высокого и низкого давления из ресурсосберегающих полиэтиленовых и металлополимерных труб.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Протяженность газопровода с применением передовых технологий и современных строительных материалов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км.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 3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.Установка приборов учета потребления природного газа потребителями.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приборов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 4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.Повышение уровня газификации природным газом в Камышловском городском округе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Прирост газифицированных домовладений (квартир) природным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газом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6.«Охрана окружающей среды Камышловского городского округа»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both"/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Цель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: Улучшение экологической безопасности на территории Камышловского городского округа на основе максимально возможного в существующих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социально-экономических условиях уменьшения масштабов воздействия вредных экологических факторов техногенного и антропогенного характера на воздушный бассейн, поверхностные и подземные воды, земельные ресурсы, растительный и животный мир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: Улучшение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санитарного и экологического состояния города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Доля ликвидации несанкционированных свалок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Обустройство и устройство контейнерных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площадок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Доля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обустроенных контейнерных площадок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отловленных безнадзорных собак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обустроенных источников нецентрализованного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7.«Обеспечение мероприятий </w:t>
            </w:r>
            <w:r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>по повышению безопасности дорожного движения на территории Камышловского городского округа»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both"/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Цель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: Обеспечение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сети автомобильных дорог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 Содержать существующую сеть автомобильных дорог в состоянии, обеспечивающем нормальное и безопасное транспортное сообщение, путем осуществления в течение года работы по содержанию 153,3 км автомобильных дорог и со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держания светофорных объектов в надлежащем виде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Усиления дорожного покрытия от общего количества дорог общего пользования, подлежащих обслуживанию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Доля усиления дорожного покрытия от общего количества дорог общего пользования,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подлежащих обслуживанию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1,97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Протяженность обслуживаемых дорог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151,9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151,9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153,4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обслуживаемых светофорных объектов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установленных светофорных объектов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Количество обустроенных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остановочных комплексов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lastRenderedPageBreak/>
              <w:t>Подпрограмма 8 «Пожарная безопасность на территории Камышловского городского округа»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Цель: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Максимальное снижение количества пожаров и их последствий, создание безопасных условий в сфере пожарной безопасности для населения Камышловского городского округа.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Задача: 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Создание необходимых условий для укрепления пожарной безопасности на территории Камышловского городского округа, организации тушения пожаров, предотвращения гибели и травмирования людей 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sz w:val="24"/>
                <w:szCs w:val="24"/>
                <w:lang w:eastAsia="hu-HU"/>
              </w:rPr>
              <w:t xml:space="preserve">Повышение уровня пожарной защиты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Задача: 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Уменьшение размеров материальных потерь от огня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sz w:val="24"/>
                <w:szCs w:val="24"/>
                <w:lang w:eastAsia="hu-HU"/>
              </w:rPr>
              <w:t>Повышение уровня пожарной защиты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Задача: 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Улучшение материально-технической базы 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Оснащение пожарным инвентарем, оборудованием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Задача: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4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Создание добровольной пожарной охраны и увеличение численности личного состава добровольных пожарных, совершенствование профессиональной подготовки личного состава 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Наличие ДПО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Задача: 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 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 персонала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</w:pP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 xml:space="preserve">Подпрограмма 9 «Обеспечение общественной безопасности на территории Камышловского городского округа» 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pacing w:val="3"/>
                <w:sz w:val="24"/>
                <w:szCs w:val="24"/>
              </w:rPr>
              <w:t xml:space="preserve">Реализация государственной политики Российской </w:t>
            </w:r>
            <w:r>
              <w:rPr>
                <w:rFonts w:ascii="Liberation Serif" w:hAnsi="Liberation Serif"/>
                <w:color w:val="000000"/>
                <w:spacing w:val="4"/>
                <w:sz w:val="24"/>
                <w:szCs w:val="24"/>
              </w:rPr>
              <w:t xml:space="preserve">Федерации в области профилактики терроризма на территории Камышловского городского округа путем </w:t>
            </w:r>
            <w:r>
              <w:rPr>
                <w:rFonts w:ascii="Liberation Serif" w:hAnsi="Liberation Serif"/>
                <w:color w:val="000000"/>
                <w:spacing w:val="4"/>
                <w:sz w:val="24"/>
                <w:szCs w:val="24"/>
              </w:rPr>
              <w:t>совершенствования системы профилактических мер антитеррористической направленности, формирования уважительного отношения к этнокультурным и конфессиональным ценностям жителей города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both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Обеспечение безопасности населения их трудовой деятельности реа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лизация государственной политики и требований законов и иных нормативных актов в области обеспечения безопасности населения, направленных на защиту здоровья и сохранения жизни от возможных террористических актов и других опасностей. 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Повышение безопаснос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ти населения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Участие в профилактике антитеррористической деятельности. 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sz w:val="24"/>
                <w:szCs w:val="24"/>
              </w:rPr>
              <w:t>Повышение безопасности населения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Задача 3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Совершенствование системы муниципального управления и оперативного реагирования в чрезвычайных и кризисных ситуациях. 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sz w:val="24"/>
                <w:szCs w:val="24"/>
              </w:rPr>
              <w:t>Повышение безопасности населения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Задача 4 </w:t>
            </w:r>
            <w:r>
              <w:rPr>
                <w:rFonts w:ascii="Liberation Serif" w:hAnsi="Liberation Serif"/>
                <w:sz w:val="24"/>
                <w:szCs w:val="24"/>
              </w:rPr>
              <w:t>Повышение безопасности населения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Повышение безопасности </w:t>
            </w:r>
            <w:r>
              <w:rPr>
                <w:rFonts w:ascii="Liberation Serif" w:hAnsi="Liberation Serif"/>
                <w:sz w:val="24"/>
                <w:szCs w:val="24"/>
              </w:rPr>
              <w:t>населения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Организация предупреждения и пресечения террористической деятельности общественных и религиозных объединений, иных организаций, физических лиц. 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sz w:val="24"/>
                <w:szCs w:val="24"/>
              </w:rPr>
              <w:t>Повышение безопасности населения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color w:val="000000"/>
                <w:spacing w:val="3"/>
                <w:sz w:val="24"/>
                <w:szCs w:val="24"/>
              </w:rPr>
              <w:t>Цель</w:t>
            </w:r>
            <w:r>
              <w:rPr>
                <w:rFonts w:ascii="Liberation Serif" w:hAnsi="Liberation Serif"/>
                <w:color w:val="000000"/>
                <w:spacing w:val="3"/>
                <w:sz w:val="24"/>
                <w:szCs w:val="24"/>
              </w:rPr>
              <w:t xml:space="preserve">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Камышлов</w:t>
            </w:r>
            <w:r>
              <w:rPr>
                <w:rFonts w:ascii="Liberation Serif" w:hAnsi="Liberation Serif"/>
                <w:color w:val="000000"/>
                <w:spacing w:val="3"/>
                <w:sz w:val="24"/>
                <w:szCs w:val="24"/>
              </w:rPr>
              <w:t>ского городского округа.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Задача 1.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Выявление и устранение причин и условий, способствующих возникновению и распространению терроризма на территории Камышловского городского округа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Целевой показатель 1. </w:t>
            </w:r>
          </w:p>
          <w:p w:rsidR="00C06E50" w:rsidRDefault="009D745B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Доля заседаний антитеррористической комиссии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Камышловского городского округа (далее – АТК), по которым осуществлено организационное обеспечение их проведения, от общего количества данных заседаний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Положение об АТК МО, утвержденное Решением Губернатора Свердловской области от </w:t>
            </w:r>
            <w:r>
              <w:rPr>
                <w:rFonts w:ascii="Liberation Serif" w:hAnsi="Liberation Serif"/>
                <w:sz w:val="20"/>
                <w:szCs w:val="20"/>
              </w:rPr>
              <w:t>20.09.20118 № 1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Задача 2.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Обеспечение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и мест массового пребывания людей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2.</w:t>
            </w:r>
          </w:p>
          <w:p w:rsidR="00C06E50" w:rsidRDefault="009D745B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Обеспечение проверки состояния антитеррористической защищенности мест массового пребывания людей, своевременной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актуализации паспортов антитеррористической защищенности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Постановление Правительства Российской Федерации от 25.03.2015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C06E50" w:rsidRDefault="009D745B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№ 272 «Об утверждении требований </w:t>
            </w:r>
          </w:p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 антитеррористической защищенности мест массового пребывания </w:t>
            </w: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</w:t>
            </w:r>
            <w:r>
              <w:rPr>
                <w:rFonts w:ascii="Liberation Serif" w:hAnsi="Liberation Serif"/>
                <w:sz w:val="20"/>
                <w:szCs w:val="20"/>
              </w:rPr>
              <w:t>бъектов (территорий)»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3.</w:t>
            </w:r>
          </w:p>
          <w:p w:rsidR="00C06E50" w:rsidRDefault="009D74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Обеспечение соответствия уровня антитеррористической защищенности объектов (территорий), находящихся </w:t>
            </w:r>
          </w:p>
          <w:p w:rsidR="00C06E50" w:rsidRDefault="009D74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муниципальной собственности или </w:t>
            </w:r>
          </w:p>
          <w:p w:rsidR="00C06E50" w:rsidRDefault="009D745B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ведении органов местного самоуправления предъявляемым требованиям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sz w:val="20"/>
                <w:szCs w:val="20"/>
              </w:rPr>
              <w:t>Распоряжение Губернатора Свердловской области от 04.06.2019 № 123-РГ, Постановления Правительства Российской Федерации, устанавливающие требования к антитеррористической защищенности отдельных объектов (территорий)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Задача 3.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</w:t>
            </w:r>
            <w:r>
              <w:rPr>
                <w:rFonts w:ascii="Liberation Serif" w:hAnsi="Liberation Serif"/>
                <w:sz w:val="24"/>
                <w:szCs w:val="24"/>
              </w:rPr>
              <w:t>нения информационных материалов, печатной продукции, проведения разъяснительной работы и иных мероприятий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4.</w:t>
            </w:r>
          </w:p>
          <w:p w:rsidR="00C06E50" w:rsidRDefault="009D745B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Доля охвата населения муниципального образования информационно-пропагандистскими мероприятиями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по разъяснению сущности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терроризма и его общественной 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пункт 2 статьи 5.2 Федерального закона от 6 марта 2006 года </w:t>
            </w:r>
          </w:p>
          <w:p w:rsidR="00C06E50" w:rsidRDefault="009D745B">
            <w:pPr>
              <w:pStyle w:val="ConsPlusCell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№ 35-ФЗ «О противодействии терроризму»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5.</w:t>
            </w:r>
          </w:p>
          <w:p w:rsidR="00C06E50" w:rsidRDefault="009D745B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Количество выпущенных (размещенных) видео-аудио роликов и печатной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продукции по вопросам профилактики терроризма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пункт 2 статьи 5.2 Федерального закона от </w:t>
            </w:r>
            <w:r>
              <w:rPr>
                <w:rFonts w:ascii="Liberation Serif" w:hAnsi="Liberation Serif" w:cs="Liberation Serif"/>
              </w:rPr>
              <w:lastRenderedPageBreak/>
              <w:t xml:space="preserve">6 марта 2006 года </w:t>
            </w:r>
          </w:p>
          <w:p w:rsidR="00C06E50" w:rsidRDefault="009D745B">
            <w:pPr>
              <w:pStyle w:val="ConsPlusCell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№ 35-ФЗ «О противодействии терроризму»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6.</w:t>
            </w:r>
          </w:p>
          <w:p w:rsidR="00C06E50" w:rsidRDefault="009D74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изготовленных и размещенных </w:t>
            </w:r>
          </w:p>
          <w:p w:rsidR="00C06E50" w:rsidRDefault="009D745B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средствах массовой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информации (включая официальный сайт муниципального образования) информационных материалов по вопросам профилактики терроризма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пункт 2 статьи 5.2 Федерального закона от 6 марта 2006 года </w:t>
            </w:r>
          </w:p>
          <w:p w:rsidR="00C06E50" w:rsidRDefault="009D745B">
            <w:pPr>
              <w:pStyle w:val="ConsPlusCell"/>
            </w:pPr>
            <w:r>
              <w:rPr>
                <w:rFonts w:ascii="Liberation Serif" w:hAnsi="Liberation Serif" w:cs="Liberation Serif"/>
              </w:rPr>
              <w:t>№ 35-ФЗ «О противодействии терроризму»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Задача 4.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Поддержание в состоянии постоянной готовности к эффективному использованию сил и средств Камышловского городского округа, предназначенных для минимизации и (или) ликвидации последствий проявлений терроризма.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7.</w:t>
            </w:r>
          </w:p>
          <w:p w:rsidR="00C06E50" w:rsidRDefault="009D745B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ерации, находящихся в муниципальной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собственности или в ведении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«Концепция противодействия терроризму в Российской Федерации» (утв. Президентом РФ 05.10.2009)», распоряжение Губернатора Свердловской </w:t>
            </w:r>
            <w:r>
              <w:rPr>
                <w:rFonts w:ascii="Liberation Serif" w:hAnsi="Liberation Serif"/>
                <w:sz w:val="20"/>
                <w:szCs w:val="20"/>
              </w:rPr>
              <w:t>области от 04.06.2019 № 123-РГ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</w:pPr>
            <w:r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10 «Обеспечение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округа»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Цель </w:t>
            </w:r>
            <w:r>
              <w:rPr>
                <w:rFonts w:ascii="Liberation Serif" w:hAnsi="Liberation Serif"/>
                <w:sz w:val="24"/>
                <w:szCs w:val="24"/>
              </w:rPr>
              <w:t>За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2020году в современную систему способную выполнить задачи по предназначению (обеспечить за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щиту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характера). 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ind w:left="-9"/>
              <w:jc w:val="both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1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Содержание системы оповещения руководящего состава РСЧС и всех категорий населен</w:t>
            </w:r>
            <w:r>
              <w:rPr>
                <w:rFonts w:ascii="Liberation Serif" w:hAnsi="Liberation Serif"/>
                <w:spacing w:val="-2"/>
                <w:sz w:val="24"/>
                <w:szCs w:val="24"/>
              </w:rPr>
              <w:t>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Сроки и процент охвата оповещения всех категорий населения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r>
              <w:rPr>
                <w:rFonts w:ascii="Liberation Serif" w:hAnsi="Liberation Serif"/>
                <w:spacing w:val="-2"/>
                <w:sz w:val="24"/>
                <w:szCs w:val="24"/>
              </w:rPr>
              <w:t>Совершенствовать инженерную защиту населения, улучшить содержание и использование защитных сооружений ГО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right="-44" w:hanging="9"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 xml:space="preserve">Доля укрываемого населения в защитных 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сооружениях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3: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pacing w:val="-2"/>
                <w:sz w:val="24"/>
                <w:szCs w:val="24"/>
              </w:rPr>
              <w:t>Создать резерв средств индивидуальной защиты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-9" w:firstLine="9"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Наличие средств индивидуальной защиты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4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r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Организовать качественную подготовку руководящего состава РСЧС, специалистов органов управления </w:t>
            </w:r>
            <w:r>
              <w:rPr>
                <w:rFonts w:ascii="Liberation Serif" w:hAnsi="Liberation Serif"/>
                <w:spacing w:val="-2"/>
                <w:sz w:val="24"/>
                <w:szCs w:val="24"/>
              </w:rPr>
              <w:t>и населения в области защиты населения и территорий от ЧС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 xml:space="preserve">Доля </w:t>
            </w:r>
            <w:r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руководящего состава РСЧС, специалистов органов управления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 xml:space="preserve"> населения,</w:t>
            </w:r>
            <w:r>
              <w:rPr>
                <w:rStyle w:val="ts21"/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pacing w:val="-2"/>
                <w:sz w:val="24"/>
                <w:szCs w:val="24"/>
              </w:rPr>
              <w:t>прошедших подготовку в области защиты населения и территорий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r>
              <w:rPr>
                <w:rFonts w:ascii="Liberation Serif" w:hAnsi="Liberation Serif"/>
                <w:spacing w:val="-2"/>
                <w:sz w:val="24"/>
                <w:szCs w:val="24"/>
              </w:rPr>
              <w:t>Совершенствовать</w:t>
            </w:r>
            <w:r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подготовку и содержание в готовности необходимых сил и средств для защиты населения и территорий от чрезвычайных ситуаций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подразделений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r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Создать запасы материально-технических, продовольственных, </w:t>
            </w:r>
            <w:r>
              <w:rPr>
                <w:rFonts w:ascii="Liberation Serif" w:hAnsi="Liberation Serif"/>
                <w:spacing w:val="-2"/>
                <w:sz w:val="24"/>
                <w:szCs w:val="24"/>
              </w:rPr>
              <w:t>медицинских и иных средств для первоочередного обеспечения пострадавшего населения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Объемы запасов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24"/>
              <w:spacing w:after="0" w:line="240" w:lineRule="auto"/>
              <w:ind w:left="841" w:hanging="841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7</w:t>
            </w:r>
            <w:r>
              <w:rPr>
                <w:rFonts w:ascii="Liberation Serif" w:hAnsi="Liberation Serif"/>
                <w:sz w:val="24"/>
                <w:szCs w:val="24"/>
              </w:rPr>
              <w:t>:Готовность к приему эвакуируемого населения, материальных и культурных ценностей в безопасные районы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hanging="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Готовность эвакоорганов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24"/>
              <w:spacing w:after="0" w:line="240" w:lineRule="auto"/>
              <w:ind w:left="841" w:hanging="841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:Финансирование мероприятий в области защиты населения и территорий от чрезвычайных ситуаций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Объем финансирования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24"/>
              <w:spacing w:after="0" w:line="240" w:lineRule="auto"/>
              <w:ind w:left="841" w:hanging="841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9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:Создание резервов финансовых и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материальных ресурсов для ликвидации чрезвычайных ситуаций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-9"/>
            </w:pPr>
            <w:r>
              <w:rPr>
                <w:rFonts w:ascii="Liberation Serif" w:hAnsi="Liberation Serif"/>
                <w:sz w:val="24"/>
                <w:szCs w:val="24"/>
              </w:rPr>
              <w:t>Объем финансирования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24"/>
              <w:spacing w:after="0" w:line="240" w:lineRule="auto"/>
              <w:ind w:left="841" w:hanging="841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10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:Организация и проведение аварийно-спасательных и других неотложных работ, а также поддержание общественного порядка при их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проведении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-9"/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подразделений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11</w:t>
            </w:r>
            <w:r>
              <w:rPr>
                <w:rFonts w:ascii="Liberation Serif" w:hAnsi="Liberation Serif"/>
                <w:sz w:val="24"/>
                <w:szCs w:val="24"/>
              </w:rPr>
              <w:t>:Обеспечение деятельности ЕДДС Камышловского городского округа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Качество приема, обработки и передачи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11 «Информационное</w:t>
            </w: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 xml:space="preserve"> общество Камышловского городского округа»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Fonts w:ascii="Liberation Serif" w:hAnsi="Liberation Serif"/>
                <w:sz w:val="24"/>
                <w:szCs w:val="24"/>
              </w:rPr>
              <w:t>: Создание информационно-коммуникационной инфраструктуры Камышловского городского округа, обеспечивающей предоставление органами местного самоуправления муниципальных услуг в электронном виде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/>
                <w:sz w:val="24"/>
                <w:szCs w:val="24"/>
              </w:rPr>
              <w:t>Развитие аппаратной и программно-технологической инфраструктуры Камышловского городского округа Свердловской области для обеспечения функционирования электронного правительства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органов местного самоуправления Камышловского городского округа, подключ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Доля муниципальных учреждений (образования,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культуры),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Количество приобретенных средств защиты информации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2</w:t>
            </w:r>
            <w:r>
              <w:rPr>
                <w:rFonts w:ascii="Liberation Serif" w:hAnsi="Liberation Serif"/>
                <w:sz w:val="24"/>
                <w:szCs w:val="24"/>
              </w:rPr>
              <w:t>. Создание программно-технологической инфраструктуры для предоставления муниципальных услуг в электронном виде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Доля (количество) муниципальных услуг, предоставляемых органами муниципального самоуправления Камышловского городского округа в электронном виде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 (единиц)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25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8</w:t>
            </w:r>
          </w:p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(17)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45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5</w:t>
            </w:r>
          </w:p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(30)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центров общественного доступа к получению муниципальных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услуг в электронном виде (в том числе пунктов коллективного доступа на базе отделений федеральной почтовой связи, муниципальных библиотек и школ), а также количество инфоматов и банкоматов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Доля населения Камышловского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городского округа, получающего муниципальные услуги посредством универсальной электронной карты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</w:pPr>
            <w:r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Подпрограмма 12 «Энергосбережение и повышение энергетической эффективности Камышловского городского округа»</w:t>
            </w:r>
            <w:r>
              <w:rPr>
                <w:rFonts w:ascii="Liberation Serif" w:hAnsi="Liberation Serif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both"/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Цель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: Активизация в Камышловском городском округе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снижения удельного энергопотреблени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я в бюджетных организациях, жилищно-коммунальном хозяйстве, на транспорте и в сфере услуг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</w:t>
            </w:r>
            <w:r>
              <w:rPr>
                <w:rFonts w:ascii="Liberation Serif" w:hAnsi="Liberation Serif"/>
                <w:color w:val="000000"/>
              </w:rPr>
              <w:t xml:space="preserve">: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Снижение удельных показателей потребления топлива, электрической и тепловой энергии при производстве большинства энергоемких видов продукции, работ, услуг, 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также в общественных и жилых зданиях Камышловского городского округа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Оснащенность приборами учета электрической энергии бюджетных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Доля оснащенности приборами учета электрической энергии бюджетных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Оснащенность общедомовыми приборами учета электрической энергии, многоквартирных домов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итого - 60 приборов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Доля оснащенности общедомовыми приборами учета электрической энергии, многоквартирных домов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 количества домов где необходимо установить ОПУ (140 домов)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Оснащенность приборами учета холодного водоснабжения бюджетных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итого - 264 прибора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Доля оснащенности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приборами учета холодного водоснабжения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бюджетных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от количества домов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где необходимо установить ОПУ (264 дома)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Оснащенность приборами учета тепловой энергии бюджетных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итого - 160 прибора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Доля оснащенности  приборами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учета  тепловой энергии бюджетных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 количества домов где необходимо установить ОПУ (160 домов)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Снижение потребления топлива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т.у.т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Протяженность отремонтированных (модернизированных)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инженерных сетей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тепло-, водоснабжения и водоотведения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Доля обеспечения тепло-, водоснабжения и водоотведения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13 «Переселение граждан из аварийного жилищного фонда с учетом </w:t>
            </w:r>
            <w:r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>необходимости развития малоэтажного жилищного строительства в Камышловском городском округе»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both"/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Создание безопасных и благоприятных условий проживания граждан; реализация механизма софинансирования мероприятий по переселению граждан из аварийного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жилого фонда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Задача:1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.Обеспечение 764 граждан, проживающих в аварийном жилищном фонде, благоустроенным жильем.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Ликвидация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9D745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Доля ликвидированных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 общего количества домов (70 МКД)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Задача:2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.Улучшение внешнего облика города, развитие городской инфраструктуры, повышение инвестиционной  привлекательности города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Строительство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малоэтажных домов.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Доля построенных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малоэтажных домов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C06E5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 общего количества построенных домов (15 МКД)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</w:pPr>
            <w:r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 xml:space="preserve"> 14 «Стимулирование развития инфраструктуры Камышловского городского округа»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: Создание условий для формирования и предоставления земельных участков под </w:t>
            </w:r>
            <w:r>
              <w:rPr>
                <w:rFonts w:ascii="Liberation Serif" w:hAnsi="Liberation Serif"/>
                <w:sz w:val="24"/>
                <w:szCs w:val="24"/>
              </w:rPr>
              <w:t>объекты жилищно-гражданского строительства на территории Камышловского городского округа и ведение единых методологических подходов при подготовке документов территориального планирования и градостроительного зонирования на территории Камышловского городск</w:t>
            </w:r>
            <w:r>
              <w:rPr>
                <w:rFonts w:ascii="Liberation Serif" w:hAnsi="Liberation Serif"/>
                <w:sz w:val="24"/>
                <w:szCs w:val="24"/>
              </w:rPr>
              <w:t>ого округа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Задача:1</w:t>
            </w:r>
            <w:r>
              <w:rPr>
                <w:rFonts w:ascii="Liberation Serif" w:hAnsi="Liberation Serif"/>
                <w:sz w:val="24"/>
                <w:szCs w:val="24"/>
              </w:rPr>
              <w:t>.Подготовка документации по планировке территории, в целях создания условий для развития капитального строительства, в т.ч. жилищного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Включение в границы Камышловского городского округа дополнительные земельные участки сельскохозяйств</w:t>
            </w:r>
            <w:r>
              <w:rPr>
                <w:rFonts w:ascii="Liberation Serif" w:hAnsi="Liberation Serif"/>
                <w:sz w:val="24"/>
                <w:szCs w:val="24"/>
              </w:rPr>
              <w:t>енного назначения под жилищное строительство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Площадь территорий, предназначенных для развития жилищного строительства, на которых </w:t>
            </w:r>
          </w:p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разработаны проекты планировки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Площадь введенного жилья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кв.м.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6800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6800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5823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Задача:2</w:t>
            </w:r>
            <w:r>
              <w:rPr>
                <w:rFonts w:ascii="Liberation Serif" w:hAnsi="Liberation Serif"/>
                <w:sz w:val="24"/>
                <w:szCs w:val="24"/>
              </w:rPr>
              <w:t>. Разработка информационной системы градостроительной деятельности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Внедрение информационной</w:t>
            </w:r>
          </w:p>
          <w:p w:rsidR="00C06E50" w:rsidRDefault="009D745B">
            <w:pPr>
              <w:ind w:right="-98"/>
            </w:pPr>
            <w:r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системы обеспечения градостроительной деятельности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с </w:t>
            </w:r>
          </w:p>
          <w:p w:rsidR="00C06E50" w:rsidRDefault="009D745B">
            <w:pPr>
              <w:ind w:right="-9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приобретением и установкой </w:t>
            </w:r>
          </w:p>
          <w:p w:rsidR="00C06E50" w:rsidRDefault="009D745B">
            <w:pPr>
              <w:ind w:right="-2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соответственного  программного </w:t>
            </w:r>
          </w:p>
          <w:p w:rsidR="00C06E50" w:rsidRDefault="009D745B">
            <w:pPr>
              <w:ind w:right="-2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обеспечения и 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Задача:3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Разработка проектно-сметной документации и экспертиза объектов капитального строительства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  <w:t xml:space="preserve">Подготовка инвестиционных программ и разработка проектно-сметной документации на объекты капитального строительства (в т.ч. экспертиза сметной документации)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Задача: 4.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Проведение работ по описанию границ территориальных зон и </w:t>
            </w:r>
            <w:r>
              <w:rPr>
                <w:rFonts w:ascii="Liberation Serif" w:hAnsi="Liberation Serif"/>
                <w:sz w:val="24"/>
                <w:szCs w:val="24"/>
              </w:rPr>
              <w:t>населенных пунктов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Доля территориальных зон, сведения о границах которых внесены в ЕГРН, в объем количества территориальных зон, установленных Правилами землепользования и застройки КГО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  <w:t xml:space="preserve">Описание границ города Камышлов и внесение </w:t>
            </w:r>
            <w:r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сведений в ЕГРН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Задача: 5. </w:t>
            </w:r>
            <w:r>
              <w:rPr>
                <w:color w:val="000000"/>
                <w:sz w:val="24"/>
                <w:szCs w:val="24"/>
              </w:rPr>
              <w:t>Сохранение объектов культурного наследия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  <w:t xml:space="preserve">Подготовка научно-исследовательской, изыскательской и (или), проектной документации на объекты культурного наследия, расположенные на территории Камышловского </w:t>
            </w:r>
            <w:r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Title"/>
              <w:widowControl/>
              <w:ind w:right="0"/>
              <w:jc w:val="center"/>
            </w:pPr>
            <w:r>
              <w:rPr>
                <w:rFonts w:ascii="Liberation Serif" w:hAnsi="Liberation Serif" w:cs="Times New Roman"/>
                <w:i/>
                <w:iCs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Liberation Serif" w:hAnsi="Liberation Serif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i/>
                <w:iCs/>
                <w:sz w:val="24"/>
                <w:szCs w:val="24"/>
              </w:rPr>
              <w:t xml:space="preserve">15 «Социальная поддержка отдельных категорий граждан на территории Камышловского городского округа» 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Цель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: Повышение уровня и качества жизни отдельных категорий граждан путем предоставления различных мер </w:t>
            </w:r>
            <w:r>
              <w:rPr>
                <w:rFonts w:ascii="Liberation Serif" w:hAnsi="Liberation Serif"/>
                <w:sz w:val="24"/>
                <w:szCs w:val="24"/>
              </w:rPr>
              <w:t>социальной поддержки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</w:t>
            </w:r>
            <w:r>
              <w:rPr>
                <w:rFonts w:ascii="Liberation Serif" w:hAnsi="Liberation Serif"/>
                <w:sz w:val="24"/>
                <w:szCs w:val="24"/>
              </w:rPr>
              <w:t>: Оказание дополнительных мер социальной поддержки, стимулирующего характера для повышения качества жизни граждан отдельных категорий граждан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sz w:val="24"/>
                <w:szCs w:val="24"/>
              </w:rPr>
              <w:t>Кол-во общественных организаций активно участвующих в деятельности администрации и ж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изни города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(ед.)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граждан, получивших льготу (бани)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(ед.)</w:t>
            </w:r>
          </w:p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788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827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граждан, получивших льготу (автотранспорт)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(ед.)</w:t>
            </w:r>
          </w:p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граждан, получивших вознаграждение (756)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(ед.)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граждан, получивших вознаграждение (89)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(ед.)</w:t>
            </w:r>
          </w:p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Кол-во граждан (организаций), </w:t>
            </w:r>
          </w:p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получивших памятные подарки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(ед.)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граждан, получающих субсидии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(чел.)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1179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1179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1179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1179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граждан, получающих компенсаций расходов СО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(чел.)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3604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3604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граждан, получающих компенсаций расходов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(чел.)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1460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1460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граждан, получивших возмещение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(чел.)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Количество граждан,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получивших меру социальной поддержки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1378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организаций, получивших субсидию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граждан, получающих компенсаций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книг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граждан, получивших вознаграждение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организаций, получивших поддержку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 xml:space="preserve">Подпрограмма 16 «Обеспечение реализации мероприятий муниципальной программы </w:t>
            </w:r>
          </w:p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 xml:space="preserve">«Развитие </w:t>
            </w: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социально-экономического комплекса Камышловского городского округа до 2020 года»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both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Цель: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1</w:t>
            </w:r>
            <w:r>
              <w:rPr>
                <w:rFonts w:ascii="Liberation Serif" w:hAnsi="Liberation Serif"/>
                <w:sz w:val="24"/>
                <w:szCs w:val="24"/>
              </w:rPr>
              <w:t>: 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беспечение выполнения муниципального задания. 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(%)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: Реализация государственного полномочия по созданию административных комиссий и по определению перечня должностных лиц, </w:t>
            </w:r>
            <w:r>
              <w:rPr>
                <w:rFonts w:ascii="Liberation Serif" w:hAnsi="Liberation Serif"/>
                <w:sz w:val="24"/>
                <w:szCs w:val="24"/>
              </w:rPr>
              <w:t>уполномоченных составлять протоколы об административных правонарушениях, предусмотренных законом Свердловской области.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составленных протоколов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(шт.)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Задача 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: Реализация государственного полномочия по составлению </w:t>
            </w:r>
            <w:r>
              <w:rPr>
                <w:rFonts w:ascii="Liberation Serif" w:hAnsi="Liberation Serif"/>
                <w:sz w:val="24"/>
                <w:szCs w:val="24"/>
              </w:rPr>
              <w:t>(изменению, дополнению) списков кандидатов в присяжные заседатели судов общей юрисдикции в Российской Федерации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Процент реализации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Задача 4.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Обеспечение исполнения бюджетной сметы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sz w:val="24"/>
                <w:szCs w:val="24"/>
              </w:rPr>
              <w:t>Исполнение бюджетной сметы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</w:pP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17 Обеспечение деятельности по комплектованию, учету, хранению и использованию архивных документов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Развитие информационного потенциала Архивного фонда Российской Федерации на территории Камышловского городского округа </w:t>
            </w:r>
          </w:p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 повышение </w:t>
            </w:r>
            <w:r>
              <w:rPr>
                <w:rFonts w:ascii="Liberation Serif" w:hAnsi="Liberation Serif"/>
                <w:sz w:val="24"/>
                <w:szCs w:val="24"/>
              </w:rPr>
              <w:t>безопасности хранения архивных документов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Обеспечение единого информационного пространства и удовлетворение потребностей в архивной информации в Камышловском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городском округе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архивных документов, включенных в электронные описи, находящихс</w:t>
            </w:r>
            <w:r>
              <w:rPr>
                <w:rFonts w:ascii="Liberation Serif" w:hAnsi="Liberation Serif"/>
                <w:sz w:val="24"/>
                <w:szCs w:val="24"/>
              </w:rPr>
              <w:t>я на хранении в архиве Камышловского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ind w:right="-10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Стратегия развития информационного общества в</w:t>
            </w:r>
          </w:p>
          <w:p w:rsidR="00C06E50" w:rsidRDefault="009D745B">
            <w:pPr>
              <w:ind w:right="-10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Российской Федерации</w:t>
            </w:r>
          </w:p>
          <w:p w:rsidR="00C06E50" w:rsidRDefault="009D74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 Президента РФ от 07.02.2012 № 601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архивных документов, включенных в электронные описи, от общего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количества документов муниципальной собственности, находящихся на хранении в архиве Камышловского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ind w:right="-12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ind w:right="-12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ind w:right="-12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Стратегия развития информационного общества</w:t>
            </w:r>
          </w:p>
          <w:p w:rsidR="00C06E50" w:rsidRDefault="009D745B">
            <w:pPr>
              <w:ind w:right="-12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Российской Федерации</w:t>
            </w:r>
          </w:p>
          <w:p w:rsidR="00C06E50" w:rsidRDefault="009D745B">
            <w:pPr>
              <w:ind w:right="-12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 Президента РФ  от 07.05.2012 № 601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Доля </w:t>
            </w:r>
            <w:r>
              <w:rPr>
                <w:rFonts w:ascii="Liberation Serif" w:hAnsi="Liberation Serif"/>
                <w:sz w:val="24"/>
                <w:szCs w:val="24"/>
              </w:rPr>
              <w:t>социально-правовых запросов граждан, исполненных в установленные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Федеральный закон от 22 октября 2004 года № 125-ФЗ «Об архивном деле в Российской Федерации»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Доля числа пользователей архивными документами, удовлетворенных </w:t>
            </w:r>
            <w:r>
              <w:rPr>
                <w:rFonts w:ascii="Liberation Serif" w:hAnsi="Liberation Serif"/>
                <w:sz w:val="24"/>
                <w:szCs w:val="24"/>
              </w:rPr>
              <w:t>качеством муниципальной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Постановление Правительства Свердловской области от 25.04.2011 </w:t>
            </w:r>
          </w:p>
          <w:p w:rsidR="00C06E50" w:rsidRDefault="009D74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480-ПП «Об утверждении базового (отраслевого) перечня государственных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услуг (работ»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описей дел архива Камышловского городского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округа, доступных для поиска и просмотра на портале «Электронный архив Свердловской области»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Областная программа «Информационное общество Свердловской области» на 2011-2015 годы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Уровень выполнения целевых показателей от </w:t>
            </w:r>
            <w:r>
              <w:rPr>
                <w:rFonts w:ascii="Liberation Serif" w:hAnsi="Liberation Serif"/>
                <w:sz w:val="24"/>
                <w:szCs w:val="24"/>
              </w:rPr>
              <w:t>запланированных на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2</w:t>
            </w:r>
            <w:r>
              <w:rPr>
                <w:rFonts w:ascii="Liberation Serif" w:hAnsi="Liberation Serif"/>
                <w:sz w:val="24"/>
                <w:szCs w:val="24"/>
              </w:rPr>
              <w:t>. Сохранение и повышение безопасности архивных документов как части историко-культурного достояния информационных ресурсов Камышловского городского округа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Доля принятых на постоянное хранение архивных </w:t>
            </w:r>
            <w:r>
              <w:rPr>
                <w:rFonts w:ascii="Liberation Serif" w:hAnsi="Liberation Serif"/>
                <w:sz w:val="24"/>
                <w:szCs w:val="24"/>
              </w:rPr>
              <w:t>документов от общего количества документов Архивного фонда Российской Федерации, подлежащих приему в установленные законодательством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Федеральный закон от 22 октября 2004 года № 125-ФЗ «Об архивном деле в Российской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Федерации»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помещений архива, соответствующих требованиям противопожарного, охранного режимов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Статистическая форма </w:t>
            </w:r>
          </w:p>
          <w:p w:rsidR="00C06E50" w:rsidRDefault="009D74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1, утверждена приказом Росархива от 12.10.2006 № 59</w:t>
            </w:r>
          </w:p>
          <w:p w:rsidR="00C06E50" w:rsidRDefault="00C06E5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Доля архивных документов, поставленных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на государственный учет, от общего количества архивных документов, находящихся на хранении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в архиве Камышловского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Приказ Росархива от 11.03.1997 № 11 «Об утверждении Регламента государственного учета документов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Архивного фонда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Российской Федерации»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сотрудников, повысивших в течение года свой профессиональный уровень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Стратегия развития информационного общества в Российской Федерации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Обеспечение исполнения </w:t>
            </w:r>
            <w:r>
              <w:rPr>
                <w:rFonts w:ascii="Liberation Serif" w:hAnsi="Liberation Serif"/>
                <w:sz w:val="24"/>
                <w:szCs w:val="24"/>
              </w:rPr>
              <w:t>администрацией Камышловского городского округа государственных полномочий Свердловской области по хранению, учету и использованию архивных документов, относящихся к собственности Свердловской области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Количество единиц хранения архивных документов, </w:t>
            </w:r>
            <w:r>
              <w:rPr>
                <w:rFonts w:ascii="Liberation Serif" w:hAnsi="Liberation Serif"/>
                <w:sz w:val="24"/>
                <w:szCs w:val="24"/>
              </w:rPr>
              <w:t>относящихся к государственной собственности Свердловской области, хранящихся в административно-правовом отделе администрации Камышловского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единица хранения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6283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6298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6313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9684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9684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Закон Свердловской области от 19 ноября 2008 го</w:t>
            </w:r>
            <w:r>
              <w:rPr>
                <w:rFonts w:ascii="Liberation Serif" w:hAnsi="Liberation Serif"/>
                <w:sz w:val="24"/>
                <w:szCs w:val="24"/>
              </w:rPr>
              <w:t>да № 104-ОЗ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относящихся к государственной собственности Свердловской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области»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Количество единиц долговременного и временного хранения, в том числе документов по личному составу, действующих и ликвидированных организаций всех форм собственности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единица хранения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37332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38332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39332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39136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40314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Закон Свердловской области от 19 ноября 2008 года № 104-ОЗ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</w:t>
            </w:r>
            <w:r>
              <w:rPr>
                <w:rFonts w:ascii="Liberation Serif" w:hAnsi="Liberation Serif"/>
                <w:sz w:val="24"/>
                <w:szCs w:val="24"/>
              </w:rPr>
              <w:t>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4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.Прием архивных документов долговременного и временного хранения действующих и </w:t>
            </w:r>
            <w:r>
              <w:rPr>
                <w:rFonts w:ascii="Liberation Serif" w:hAnsi="Liberation Serif"/>
                <w:sz w:val="24"/>
                <w:szCs w:val="24"/>
              </w:rPr>
              <w:t>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Количество документов долговременного и временного хранения действующих и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ликвидированных организа</w:t>
            </w:r>
            <w:r>
              <w:rPr>
                <w:rFonts w:ascii="Liberation Serif" w:hAnsi="Liberation Serif"/>
                <w:sz w:val="24"/>
                <w:szCs w:val="24"/>
              </w:rPr>
              <w:t>ций всех форм собственности, расположенных на территории Камышловского городского округа, в том числе документов по личному составу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единица хранения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Закон Свердловской области от 19 ноября 2008 года № 104-ОЗ «О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наделении орга</w:t>
            </w:r>
            <w:r>
              <w:rPr>
                <w:rFonts w:ascii="Liberation Serif" w:hAnsi="Liberation Serif"/>
                <w:sz w:val="24"/>
                <w:szCs w:val="24"/>
              </w:rPr>
              <w:t>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</w:t>
            </w:r>
            <w:r>
              <w:rPr>
                <w:rFonts w:ascii="Liberation Serif" w:hAnsi="Liberation Serif"/>
                <w:sz w:val="24"/>
                <w:szCs w:val="24"/>
              </w:rPr>
              <w:t>й собственности Свердловской области»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Задача 5</w:t>
            </w:r>
            <w:r>
              <w:rPr>
                <w:rFonts w:ascii="Liberation Serif" w:hAnsi="Liberation Serif"/>
                <w:sz w:val="24"/>
                <w:szCs w:val="24"/>
              </w:rPr>
              <w:t>.Научное описание архивных документов (создание и ведение справочно-поисковых средств к архивным документам): усовершенствование и переработка описей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Доля научно описанных архивных документов (создание и </w:t>
            </w:r>
            <w:r>
              <w:rPr>
                <w:rFonts w:ascii="Liberation Serif" w:hAnsi="Liberation Serif"/>
                <w:sz w:val="24"/>
                <w:szCs w:val="24"/>
              </w:rPr>
              <w:t>ведение справочно-поисковых средств к архивным документам): усовершенствование и переработка описей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Федеральный закон от 22 октября 2004 года № 125-ФЗ «Об архивном деле в Российской Федерации»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.Создание и публикация </w:t>
            </w:r>
            <w:r>
              <w:rPr>
                <w:rFonts w:ascii="Liberation Serif" w:hAnsi="Liberation Serif"/>
                <w:sz w:val="24"/>
                <w:szCs w:val="24"/>
              </w:rPr>
              <w:t>архивных документов и справочно-поисковых средств к ним; подготовка информационных материалов с использованием архивных документов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Доля созданных и опубликованных архивных документов и справочно-поисковых средств к ним; подготовка информационных </w:t>
            </w:r>
            <w:r>
              <w:rPr>
                <w:rFonts w:ascii="Liberation Serif" w:hAnsi="Liberation Serif"/>
                <w:sz w:val="24"/>
                <w:szCs w:val="24"/>
              </w:rPr>
              <w:t>материалов с использованием архивных документов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Федеральный закон от 22 октября 2004 года № 125-ФЗ «Об архивном деле в Российской Федерации»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</w:pP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18 «Строительство (реконструкция)</w:t>
            </w:r>
            <w:r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 xml:space="preserve">зданий дошкольных образовательных </w:t>
            </w: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учреждений на территории</w:t>
            </w:r>
            <w:r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Камышловского городского округа»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Fonts w:ascii="Liberation Serif" w:hAnsi="Liberation Serif"/>
                <w:sz w:val="24"/>
                <w:szCs w:val="24"/>
              </w:rPr>
              <w:t>: Обеспечение доступности дошкольного образования для детей в возрасте от 3 до 7 лет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Обеспечение государственных гарантий прав граждан на получение общедоступного и бесплатного </w:t>
            </w:r>
            <w:r>
              <w:rPr>
                <w:rFonts w:ascii="Liberation Serif" w:hAnsi="Liberation Serif"/>
                <w:sz w:val="24"/>
                <w:szCs w:val="24"/>
              </w:rPr>
              <w:t>дошкольного образования в муниципальных дошкольных образовательных организациях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af9"/>
            </w:pPr>
            <w:r>
              <w:rPr>
                <w:rFonts w:ascii="Liberation Serif" w:hAnsi="Liberation Serif" w:cs="Times New Roman"/>
              </w:rPr>
              <w:t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</w:t>
            </w:r>
            <w:r>
              <w:rPr>
                <w:rFonts w:ascii="Liberation Serif" w:hAnsi="Liberation Serif" w:cs="Times New Roman"/>
              </w:rPr>
              <w:t>рректированной на численность детей в возрасте 5-7 лет, обучающихся в школе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Постановление главы Камышловского городского округа от 11.09.2013 года  </w:t>
            </w:r>
          </w:p>
          <w:p w:rsidR="00C06E50" w:rsidRDefault="009D74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1675 «Об утверждении плана мероприятий («дорожной карты») «Изменения в отраслях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социальной сферы, направленные на повышение эффективности образования» в Камышловском городском округе на 2013-2018 годы»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2.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Обеспечение воспитания и обучения детей-инвалидов дошкольного возраста, проживающих в Камышловском городском округе, на до</w:t>
            </w:r>
            <w:r>
              <w:rPr>
                <w:rFonts w:ascii="Liberation Serif" w:hAnsi="Liberation Serif"/>
                <w:sz w:val="24"/>
                <w:szCs w:val="24"/>
              </w:rPr>
              <w:t>му, в дошкольных образовательных организациях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Охват детей-инвалидов дошкольного возраста, проживающих в Камышловском городском округе, обучением на дому, в дошкольных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Указ Президента Российской </w:t>
            </w:r>
            <w:r>
              <w:rPr>
                <w:rFonts w:ascii="Liberation Serif" w:hAnsi="Liberation Serif"/>
                <w:sz w:val="24"/>
                <w:szCs w:val="24"/>
              </w:rPr>
              <w:t>Федерации от 07 мая 2012 года № 599 «О мерах по реализации государственной политики в области образования и науки»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Обеспечение соответствия состояния зданий и помещений дошкольных образовательных организаций требованиям пожарной безопасности и санитарного законодательства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HTML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Доля зданий муниципальных дошкольных образовательных организаций, требующих капитального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ремонта,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afa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1"/>
              <w:tabs>
                <w:tab w:val="left" w:pos="0"/>
              </w:tabs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Распоряжение Правительства Российской Федерации от 06.10.2011  № 1757-р (Стратегия социально-экономического развития </w:t>
            </w: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Уральского федерального округа на период до 2020 года), санитарно-эпидемиологические правила и нормативы, Федеральный закон от 22 июля 2008 года № 123-ФЗ «Технический регламент о требованиях </w:t>
            </w:r>
            <w:r>
              <w:rPr>
                <w:rFonts w:ascii="Liberation Serif" w:hAnsi="Liberation Serif"/>
                <w:b w:val="0"/>
                <w:sz w:val="24"/>
                <w:szCs w:val="24"/>
              </w:rPr>
              <w:lastRenderedPageBreak/>
              <w:t>пожарной безопасности»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1"/>
              <w:tabs>
                <w:tab w:val="left" w:pos="0"/>
              </w:tabs>
              <w:jc w:val="center"/>
            </w:pPr>
            <w:r>
              <w:rPr>
                <w:rFonts w:ascii="Liberation Serif" w:hAnsi="Liberation Serif"/>
                <w:i/>
                <w:iCs/>
                <w:sz w:val="24"/>
                <w:szCs w:val="24"/>
              </w:rPr>
              <w:lastRenderedPageBreak/>
              <w:t xml:space="preserve">Подпрограмма 19 «Ремонт муниципального </w:t>
            </w:r>
            <w:r>
              <w:rPr>
                <w:rFonts w:ascii="Liberation Serif" w:hAnsi="Liberation Serif"/>
                <w:i/>
                <w:iCs/>
                <w:sz w:val="24"/>
                <w:szCs w:val="24"/>
              </w:rPr>
              <w:t>жилого фонда на территории Камышловского городского округа»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1"/>
              <w:tabs>
                <w:tab w:val="left" w:pos="0"/>
              </w:tabs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Цель1: </w:t>
            </w:r>
            <w:r>
              <w:rPr>
                <w:rFonts w:ascii="Liberation Serif" w:hAnsi="Liberation Serif"/>
                <w:b w:val="0"/>
                <w:sz w:val="24"/>
                <w:szCs w:val="24"/>
              </w:rPr>
              <w:t>Создание безопасных и благоприятных условий для проживания граждан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1"/>
              <w:tabs>
                <w:tab w:val="left" w:pos="0"/>
              </w:tabs>
            </w:pPr>
            <w:r>
              <w:rPr>
                <w:rFonts w:ascii="Liberation Serif" w:hAnsi="Liberation Serif"/>
                <w:sz w:val="24"/>
                <w:szCs w:val="24"/>
              </w:rPr>
              <w:t>Задача</w:t>
            </w: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: Организация адресной поддержки товариществ собственников жилья, жилищно-строительных кооперативов, жилищных или </w:t>
            </w:r>
            <w:r>
              <w:rPr>
                <w:rFonts w:ascii="Liberation Serif" w:hAnsi="Liberation Serif"/>
                <w:b w:val="0"/>
                <w:sz w:val="24"/>
                <w:szCs w:val="24"/>
              </w:rPr>
              <w:t>иных специализированных потребительских кооперативов, управляющих организаций либо собственников помещений в многоквартирных домах за счет средств областного, федерального и местных бюджетов и средств Фонда содействия реформированию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 w:val="0"/>
                <w:sz w:val="24"/>
                <w:szCs w:val="24"/>
              </w:rPr>
              <w:t>ЖКХ для проведения капи</w:t>
            </w:r>
            <w:r>
              <w:rPr>
                <w:rFonts w:ascii="Liberation Serif" w:hAnsi="Liberation Serif"/>
                <w:b w:val="0"/>
                <w:sz w:val="24"/>
                <w:szCs w:val="24"/>
              </w:rPr>
              <w:t>тального ремонта МКД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HTML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Проведение капитального ремонта муниципальных квартир общей площадью не менее 28291,55 кв.м.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afa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кв.м.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1"/>
              <w:tabs>
                <w:tab w:val="left" w:pos="0"/>
              </w:tabs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HTML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Доля отремонтированных жилых помещений от общего количества муниципальных квартир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afa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1"/>
              <w:tabs>
                <w:tab w:val="left" w:pos="0"/>
              </w:tabs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HTML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Площадь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отремонтированного муниципального жилого фонда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afa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кв.м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1"/>
              <w:tabs>
                <w:tab w:val="left" w:pos="0"/>
              </w:tabs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1"/>
              <w:tabs>
                <w:tab w:val="left" w:pos="0"/>
              </w:tabs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Цель 2: </w:t>
            </w:r>
            <w:r>
              <w:rPr>
                <w:rFonts w:ascii="Liberation Serif" w:hAnsi="Liberation Serif"/>
                <w:b w:val="0"/>
                <w:sz w:val="24"/>
                <w:szCs w:val="24"/>
              </w:rPr>
              <w:t>Повышение качества реформирования жилищно-коммунального хозяйства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1"/>
              <w:tabs>
                <w:tab w:val="left" w:pos="0"/>
              </w:tabs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Задача: </w:t>
            </w: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Реализация механизма софинансирования работ по капитальному ремонту МКД, проводимому с привлечением </w:t>
            </w:r>
            <w:r>
              <w:rPr>
                <w:rFonts w:ascii="Liberation Serif" w:hAnsi="Liberation Serif"/>
                <w:b w:val="0"/>
                <w:sz w:val="24"/>
                <w:szCs w:val="24"/>
              </w:rPr>
              <w:t>средств товариществ собственников жилья, ЖСК, жилищных или иных специализированных потребительских кооперативов, формируемых в соответствии с жилищным законодательством РФ, либо собственников помещений в МКД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HTML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Доля общего имущества МКД соразмерно занимаем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ых площадей муниципальных квартир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afa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1"/>
              <w:tabs>
                <w:tab w:val="left" w:pos="0"/>
              </w:tabs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HTML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Доля отремонтированного общего имущества МКД от общего количества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площадей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afa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lastRenderedPageBreak/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1"/>
              <w:tabs>
                <w:tab w:val="left" w:pos="0"/>
              </w:tabs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HTML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Площадь муниципального жилого фонда, за который оплачиваются взносы на капитальный ремонт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afa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кв.м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13112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11910,3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1"/>
              <w:tabs>
                <w:tab w:val="left" w:pos="0"/>
              </w:tabs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1"/>
              <w:tabs>
                <w:tab w:val="left" w:pos="0"/>
              </w:tabs>
              <w:jc w:val="center"/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Подпрограмма 20 «Переселение граждан из аварийного жилищного фонда в Камышловском городском округе»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61"/>
              <w:spacing w:after="0" w:line="240" w:lineRule="auto"/>
              <w:ind w:right="-20" w:firstLine="0"/>
              <w:jc w:val="both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Цель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>
              <w:rPr>
                <w:rStyle w:val="a9"/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611pt"/>
                <w:rFonts w:ascii="Liberation Serif" w:hAnsi="Liberation Serif"/>
                <w:sz w:val="24"/>
                <w:szCs w:val="24"/>
              </w:rPr>
              <w:t>Создание безопасных и благоприятных условий проживания граждан.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1"/>
              <w:tabs>
                <w:tab w:val="left" w:pos="0"/>
              </w:tabs>
            </w:pPr>
            <w:r>
              <w:rPr>
                <w:rFonts w:ascii="Liberation Serif" w:hAnsi="Liberation Serif"/>
                <w:sz w:val="24"/>
                <w:szCs w:val="24"/>
              </w:rPr>
              <w:t>Задача:</w:t>
            </w:r>
            <w:r>
              <w:rPr>
                <w:rStyle w:val="a9"/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>
              <w:rPr>
                <w:rStyle w:val="611pt"/>
                <w:rFonts w:ascii="Liberation Serif" w:eastAsia="Calibri" w:hAnsi="Liberation Serif"/>
                <w:b w:val="0"/>
                <w:sz w:val="24"/>
                <w:szCs w:val="24"/>
                <w:highlight w:val="none"/>
              </w:rPr>
              <w:t xml:space="preserve">Обеспечение 474 граждан, проживающих в </w:t>
            </w:r>
            <w:r>
              <w:rPr>
                <w:rStyle w:val="611pt"/>
                <w:rFonts w:ascii="Liberation Serif" w:eastAsia="Calibri" w:hAnsi="Liberation Serif"/>
                <w:b w:val="0"/>
                <w:sz w:val="24"/>
                <w:szCs w:val="24"/>
                <w:highlight w:val="none"/>
              </w:rPr>
              <w:t>аварийном жилищном фонде, благоустроенным жильем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widowControl w:val="0"/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Ликвидация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afa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1"/>
              <w:tabs>
                <w:tab w:val="left" w:pos="0"/>
              </w:tabs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HTML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Доля ликвидированных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afa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1"/>
              <w:tabs>
                <w:tab w:val="left" w:pos="0"/>
              </w:tabs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HTML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Количество благоустроенных домов,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построенных для переселения граждан из аварийного жилого фонда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afa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06E50" w:rsidRDefault="00C06E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06E50" w:rsidRDefault="00C06E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06E50" w:rsidRDefault="00C06E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1"/>
              <w:tabs>
                <w:tab w:val="left" w:pos="0"/>
              </w:tabs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1"/>
              <w:tabs>
                <w:tab w:val="left" w:pos="0"/>
              </w:tabs>
              <w:jc w:val="center"/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Подпрограмма 21 «Приобретение благоустроенных жилых помещений для переселения граждан из аварийного жилищного фонда в Камышловском городском округе»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61"/>
              <w:spacing w:after="0" w:line="240" w:lineRule="auto"/>
              <w:ind w:right="-20" w:firstLine="0"/>
              <w:jc w:val="both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Цель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>
              <w:rPr>
                <w:rStyle w:val="a9"/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611pt"/>
                <w:rFonts w:ascii="Liberation Serif" w:hAnsi="Liberation Serif"/>
                <w:sz w:val="24"/>
                <w:szCs w:val="24"/>
              </w:rPr>
              <w:t xml:space="preserve">Создание </w:t>
            </w:r>
            <w:r>
              <w:rPr>
                <w:rStyle w:val="611pt"/>
                <w:rFonts w:ascii="Liberation Serif" w:hAnsi="Liberation Serif"/>
                <w:sz w:val="24"/>
                <w:szCs w:val="24"/>
              </w:rPr>
              <w:t>безопасных и благоприятных условий проживания граждан.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1"/>
              <w:tabs>
                <w:tab w:val="left" w:pos="0"/>
              </w:tabs>
            </w:pPr>
            <w:r>
              <w:rPr>
                <w:rFonts w:ascii="Liberation Serif" w:hAnsi="Liberation Serif"/>
                <w:sz w:val="24"/>
                <w:szCs w:val="24"/>
              </w:rPr>
              <w:t>Задача:</w:t>
            </w:r>
            <w:r>
              <w:rPr>
                <w:rStyle w:val="a9"/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>
              <w:rPr>
                <w:rStyle w:val="611pt"/>
                <w:rFonts w:ascii="Liberation Serif" w:eastAsia="Calibri" w:hAnsi="Liberation Serif"/>
                <w:b w:val="0"/>
                <w:sz w:val="24"/>
                <w:szCs w:val="24"/>
                <w:highlight w:val="none"/>
              </w:rPr>
              <w:t>Обеспечение 12 семей, проживающих в аварийном жилищном фонде, благоустроенным жильем.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widowControl w:val="0"/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Ликвидация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afa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1"/>
              <w:tabs>
                <w:tab w:val="left" w:pos="0"/>
              </w:tabs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HTML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Доля ликвидированных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afa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1"/>
              <w:tabs>
                <w:tab w:val="left" w:pos="0"/>
              </w:tabs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1"/>
              <w:tabs>
                <w:tab w:val="left" w:pos="0"/>
              </w:tabs>
              <w:jc w:val="center"/>
              <w:rPr>
                <w:rFonts w:ascii="Liberation Serif" w:hAnsi="Liberation Serif"/>
                <w:bCs w:val="0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Cs w:val="0"/>
                <w:i/>
                <w:sz w:val="24"/>
                <w:szCs w:val="24"/>
              </w:rPr>
              <w:t>Подпрограмма 22 «Обеспечение жильем молодых семей»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1"/>
              <w:tabs>
                <w:tab w:val="left" w:pos="0"/>
              </w:tabs>
            </w:pPr>
            <w:r>
              <w:rPr>
                <w:rFonts w:ascii="Liberation Serif" w:hAnsi="Liberation Serif"/>
                <w:bCs w:val="0"/>
                <w:sz w:val="24"/>
                <w:szCs w:val="24"/>
              </w:rPr>
              <w:t>Цел</w:t>
            </w: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ь: Предоставление государственной поддержки в решении жилищной проблемы молодым семьям, признанным в установленном порядке </w:t>
            </w: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lastRenderedPageBreak/>
              <w:t>нуждающимися в</w:t>
            </w: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улучшении жилищных условий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1"/>
              <w:tabs>
                <w:tab w:val="left" w:pos="0"/>
              </w:tabs>
            </w:pPr>
            <w:r>
              <w:rPr>
                <w:rFonts w:ascii="Liberation Serif" w:hAnsi="Liberation Serif"/>
                <w:bCs w:val="0"/>
                <w:sz w:val="24"/>
                <w:szCs w:val="24"/>
              </w:rPr>
              <w:lastRenderedPageBreak/>
              <w:t>Задача</w:t>
            </w: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: Предоставление мер государственной поддержки в решении жилищной проблемы молодым семьям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HTML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Количество молодых семей, получивших социальную выплату на улучшение жилищных условий.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afa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семей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1"/>
              <w:tabs>
                <w:tab w:val="left" w:pos="0"/>
              </w:tabs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HTML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Количество молодых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семей, получивших социальную выплату на улучшение жилищных условий.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afa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проценты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1"/>
              <w:tabs>
                <w:tab w:val="left" w:pos="0"/>
              </w:tabs>
              <w:rPr>
                <w:rFonts w:ascii="Liberation Serif" w:hAnsi="Liberation Serif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1"/>
              <w:tabs>
                <w:tab w:val="left" w:pos="0"/>
              </w:tabs>
              <w:jc w:val="center"/>
            </w:pPr>
            <w:r>
              <w:rPr>
                <w:rStyle w:val="611pt"/>
                <w:rFonts w:ascii="Liberation Serif" w:eastAsia="Calibri" w:hAnsi="Liberation Serif"/>
                <w:i/>
                <w:sz w:val="24"/>
                <w:szCs w:val="24"/>
                <w:highlight w:val="none"/>
              </w:rPr>
              <w:t>Подпрограмма 23 «Предоставление региональной поддержки молодым семьям на улучшение жилищных условий»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1"/>
              <w:tabs>
                <w:tab w:val="left" w:pos="0"/>
              </w:tabs>
            </w:pPr>
            <w:r>
              <w:rPr>
                <w:rStyle w:val="611pt"/>
                <w:rFonts w:ascii="Liberation Serif" w:eastAsia="Calibri" w:hAnsi="Liberation Serif"/>
                <w:sz w:val="24"/>
                <w:szCs w:val="24"/>
                <w:highlight w:val="none"/>
              </w:rPr>
              <w:t>Цель</w:t>
            </w:r>
            <w:r>
              <w:rPr>
                <w:rStyle w:val="611pt"/>
                <w:rFonts w:ascii="Liberation Serif" w:eastAsia="Calibri" w:hAnsi="Liberation Serif"/>
                <w:b w:val="0"/>
                <w:sz w:val="24"/>
                <w:szCs w:val="24"/>
                <w:highlight w:val="none"/>
              </w:rPr>
              <w:t xml:space="preserve">: Предоставление региональной поддержки молодым семьям на </w:t>
            </w:r>
            <w:r>
              <w:rPr>
                <w:rStyle w:val="611pt"/>
                <w:rFonts w:ascii="Liberation Serif" w:eastAsia="Calibri" w:hAnsi="Liberation Serif"/>
                <w:b w:val="0"/>
                <w:sz w:val="24"/>
                <w:szCs w:val="24"/>
                <w:highlight w:val="none"/>
              </w:rPr>
              <w:t>улучшение жилищных условий</w:t>
            </w:r>
          </w:p>
        </w:tc>
      </w:tr>
      <w:tr w:rsidR="00C06E50">
        <w:trPr>
          <w:trHeight w:val="320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widowControl w:val="0"/>
              <w:jc w:val="both"/>
            </w:pPr>
            <w:r>
              <w:rPr>
                <w:rStyle w:val="611pt"/>
                <w:rFonts w:ascii="Liberation Serif" w:eastAsia="Calibri" w:hAnsi="Liberation Serif"/>
                <w:b/>
                <w:sz w:val="24"/>
                <w:szCs w:val="24"/>
                <w:highlight w:val="none"/>
              </w:rPr>
              <w:t>Задача</w:t>
            </w:r>
            <w:r>
              <w:rPr>
                <w:rStyle w:val="611pt"/>
                <w:rFonts w:ascii="Liberation Serif" w:eastAsia="Calibri" w:hAnsi="Liberation Serif"/>
                <w:sz w:val="24"/>
                <w:szCs w:val="24"/>
                <w:highlight w:val="none"/>
              </w:rPr>
              <w:t>: Предоставление региональных социальных выплат молодым семьям на улучшение жилищных условий</w:t>
            </w:r>
          </w:p>
        </w:tc>
      </w:tr>
      <w:tr w:rsidR="00C06E5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HTML0"/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молодых семей, получивших региональную социальную выплату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pStyle w:val="afa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ед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9D745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50" w:rsidRDefault="00C06E50">
            <w:pPr>
              <w:pStyle w:val="1"/>
              <w:tabs>
                <w:tab w:val="left" w:pos="0"/>
              </w:tabs>
              <w:rPr>
                <w:rFonts w:ascii="Liberation Serif" w:hAnsi="Liberation Serif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C06E50" w:rsidRDefault="00C06E50">
      <w:pPr>
        <w:jc w:val="center"/>
        <w:rPr>
          <w:rFonts w:ascii="Liberation Serif" w:hAnsi="Liberation Serif"/>
          <w:sz w:val="24"/>
          <w:szCs w:val="24"/>
        </w:rPr>
      </w:pPr>
    </w:p>
    <w:sectPr w:rsidR="00C06E50">
      <w:headerReference w:type="default" r:id="rId7"/>
      <w:pgSz w:w="16838" w:h="11906" w:orient="landscape"/>
      <w:pgMar w:top="851" w:right="1134" w:bottom="709" w:left="851" w:header="709" w:footer="0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45B" w:rsidRDefault="009D745B">
      <w:r>
        <w:separator/>
      </w:r>
    </w:p>
  </w:endnote>
  <w:endnote w:type="continuationSeparator" w:id="0">
    <w:p w:rsidR="009D745B" w:rsidRDefault="009D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</w:font>
  <w:font w:name="Lucida Sans Unicode">
    <w:panose1 w:val="020B06020305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45B" w:rsidRDefault="009D745B">
      <w:r>
        <w:separator/>
      </w:r>
    </w:p>
  </w:footnote>
  <w:footnote w:type="continuationSeparator" w:id="0">
    <w:p w:rsidR="009D745B" w:rsidRDefault="009D7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E50" w:rsidRDefault="009D745B">
    <w:pPr>
      <w:pStyle w:val="afc"/>
      <w:jc w:val="center"/>
    </w:pPr>
    <w:r>
      <w:fldChar w:fldCharType="begin"/>
    </w:r>
    <w:r>
      <w:instrText>PAGE</w:instrText>
    </w:r>
    <w:r>
      <w:fldChar w:fldCharType="separate"/>
    </w:r>
    <w:r w:rsidR="008F39D7">
      <w:rPr>
        <w:noProof/>
      </w:rPr>
      <w:t>2</w:t>
    </w:r>
    <w:r>
      <w:fldChar w:fldCharType="end"/>
    </w:r>
  </w:p>
  <w:p w:rsidR="00C06E50" w:rsidRDefault="00C06E50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44F0D"/>
    <w:multiLevelType w:val="multilevel"/>
    <w:tmpl w:val="EC48407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50"/>
    <w:rsid w:val="008F39D7"/>
    <w:rsid w:val="009D745B"/>
    <w:rsid w:val="00C0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03301-FCE9-49C7-99DA-323E7905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qFormat/>
    <w:pPr>
      <w:numPr>
        <w:numId w:val="1"/>
      </w:numPr>
      <w:spacing w:before="100" w:after="100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16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qFormat/>
    <w:pPr>
      <w:numPr>
        <w:ilvl w:val="2"/>
        <w:numId w:val="1"/>
      </w:numPr>
      <w:overflowPunct/>
      <w:autoSpaceDE/>
      <w:spacing w:before="100" w:after="100"/>
      <w:textAlignment w:val="auto"/>
      <w:outlineLvl w:val="2"/>
    </w:pPr>
    <w:rPr>
      <w:b/>
      <w:bCs/>
      <w:color w:val="666666"/>
      <w:sz w:val="27"/>
      <w:szCs w:val="27"/>
    </w:rPr>
  </w:style>
  <w:style w:type="paragraph" w:styleId="4">
    <w:name w:val="heading 4"/>
    <w:basedOn w:val="a"/>
    <w:qFormat/>
    <w:pPr>
      <w:numPr>
        <w:ilvl w:val="3"/>
        <w:numId w:val="1"/>
      </w:numPr>
      <w:overflowPunct/>
      <w:autoSpaceDE/>
      <w:spacing w:before="100" w:after="100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overflowPunct/>
      <w:autoSpaceDE/>
      <w:spacing w:before="240" w:after="60"/>
      <w:textAlignment w:val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</w:style>
  <w:style w:type="character" w:customStyle="1" w:styleId="a3">
    <w:name w:val="Текст сноски Знак"/>
    <w:basedOn w:val="a0"/>
    <w:qFormat/>
    <w:rPr>
      <w:rFonts w:ascii="Calibri" w:eastAsia="Calibri" w:hAnsi="Calibri" w:cs="Times New Roman"/>
      <w:sz w:val="20"/>
      <w:szCs w:val="20"/>
    </w:rPr>
  </w:style>
  <w:style w:type="character" w:styleId="a4">
    <w:name w:val="footnote reference"/>
    <w:rPr>
      <w:position w:val="7"/>
      <w:sz w:val="14"/>
    </w:rPr>
  </w:style>
  <w:style w:type="character" w:customStyle="1" w:styleId="a5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qFormat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a6">
    <w:name w:val="Основной текст_"/>
    <w:basedOn w:val="a0"/>
    <w:qFormat/>
    <w:rPr>
      <w:rFonts w:ascii="Times New Roman" w:eastAsia="Times New Roman" w:hAnsi="Times New Roman" w:cs="Times New Roman"/>
      <w:sz w:val="27"/>
      <w:szCs w:val="27"/>
      <w:highlight w:val="white"/>
    </w:rPr>
  </w:style>
  <w:style w:type="character" w:customStyle="1" w:styleId="115pt">
    <w:name w:val="Основной текст + 11;5 pt;Полужирный;Малые прописные"/>
    <w:basedOn w:val="a6"/>
    <w:qFormat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3"/>
      <w:szCs w:val="23"/>
      <w:highlight w:val="white"/>
      <w:vertAlign w:val="baseline"/>
      <w:lang w:val="ru-RU"/>
    </w:rPr>
  </w:style>
  <w:style w:type="character" w:customStyle="1" w:styleId="115pt0">
    <w:name w:val="Основной текст + 11;5 pt;Полужирный"/>
    <w:basedOn w:val="a6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highlight w:val="white"/>
      <w:vertAlign w:val="baseline"/>
      <w:lang w:val="ru-RU"/>
    </w:rPr>
  </w:style>
  <w:style w:type="character" w:customStyle="1" w:styleId="14pt">
    <w:name w:val="Основной текст + 14 pt;Курсив"/>
    <w:basedOn w:val="a6"/>
    <w:qFormat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highlight w:val="white"/>
      <w:vertAlign w:val="baseline"/>
    </w:rPr>
  </w:style>
  <w:style w:type="character" w:customStyle="1" w:styleId="30">
    <w:name w:val="Заголовок 3 Знак"/>
    <w:basedOn w:val="a0"/>
    <w:qFormat/>
    <w:rPr>
      <w:rFonts w:ascii="Times New Roman" w:eastAsia="Times New Roman" w:hAnsi="Times New Roman" w:cs="Times New Roman"/>
      <w:b/>
      <w:bCs/>
      <w:color w:val="666666"/>
      <w:sz w:val="27"/>
      <w:szCs w:val="27"/>
      <w:lang w:eastAsia="ru-RU"/>
    </w:rPr>
  </w:style>
  <w:style w:type="character" w:customStyle="1" w:styleId="40">
    <w:name w:val="Заголовок 4 Знак"/>
    <w:basedOn w:val="a0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qFormat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Heading2Char">
    <w:name w:val="Heading 2 Char"/>
    <w:basedOn w:val="a0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a0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a0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1">
    <w:name w:val="Основной текст 2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alloonTextChar">
    <w:name w:val="Balloon Text Char"/>
    <w:basedOn w:val="a0"/>
    <w:qFormat/>
    <w:rPr>
      <w:rFonts w:ascii="Tahoma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Знак Знак10"/>
    <w:basedOn w:val="a0"/>
    <w:qFormat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a7">
    <w:name w:val="Верхний колонтитул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a0"/>
    <w:qFormat/>
    <w:rPr>
      <w:sz w:val="20"/>
      <w:szCs w:val="20"/>
    </w:rPr>
  </w:style>
  <w:style w:type="character" w:customStyle="1" w:styleId="31">
    <w:name w:val="Основной текст с отступом 3 Знак"/>
    <w:basedOn w:val="a0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0"/>
    <w:qFormat/>
    <w:rPr>
      <w:sz w:val="16"/>
      <w:szCs w:val="16"/>
    </w:rPr>
  </w:style>
  <w:style w:type="character" w:customStyle="1" w:styleId="a8">
    <w:name w:val="Основной текст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qFormat/>
    <w:rPr>
      <w:sz w:val="20"/>
      <w:szCs w:val="20"/>
    </w:rPr>
  </w:style>
  <w:style w:type="character" w:customStyle="1" w:styleId="6">
    <w:name w:val="Знак Знак6"/>
    <w:basedOn w:val="a0"/>
    <w:qFormat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apple-style-span">
    <w:name w:val="apple-style-span"/>
    <w:basedOn w:val="a0"/>
    <w:qFormat/>
  </w:style>
  <w:style w:type="character" w:customStyle="1" w:styleId="41">
    <w:name w:val="Знак Знак4"/>
    <w:basedOn w:val="a0"/>
    <w:qFormat/>
    <w:rPr>
      <w:rFonts w:ascii="Courier New" w:eastAsia="Times New Roman" w:hAnsi="Courier New" w:cs="Courier New"/>
    </w:rPr>
  </w:style>
  <w:style w:type="character" w:customStyle="1" w:styleId="FontStyle11">
    <w:name w:val="Font Style11"/>
    <w:basedOn w:val="a0"/>
    <w:qFormat/>
    <w:rPr>
      <w:rFonts w:ascii="Courier New" w:hAnsi="Courier New" w:cs="Courier New"/>
      <w:spacing w:val="-10"/>
      <w:sz w:val="26"/>
      <w:szCs w:val="26"/>
    </w:rPr>
  </w:style>
  <w:style w:type="character" w:customStyle="1" w:styleId="aa">
    <w:name w:val="Основной текст с отступом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s21">
    <w:name w:val="ts21"/>
    <w:basedOn w:val="a0"/>
    <w:qFormat/>
    <w:rPr>
      <w:rFonts w:ascii="Times New Roman" w:hAnsi="Times New Roman" w:cs="Times New Roman"/>
      <w:color w:val="884706"/>
      <w:sz w:val="32"/>
      <w:szCs w:val="32"/>
    </w:rPr>
  </w:style>
  <w:style w:type="character" w:customStyle="1" w:styleId="611pt">
    <w:name w:val="Основной текст (6) + 11 pt"/>
    <w:basedOn w:val="a0"/>
    <w:qFormat/>
    <w:rPr>
      <w:rFonts w:ascii="Times New Roman" w:hAnsi="Times New Roman" w:cs="Times New Roman"/>
      <w:sz w:val="22"/>
      <w:szCs w:val="22"/>
      <w:highlight w:val="white"/>
    </w:rPr>
  </w:style>
  <w:style w:type="character" w:styleId="ab">
    <w:name w:val="Strong"/>
    <w:basedOn w:val="a0"/>
    <w:qFormat/>
    <w:rPr>
      <w:b/>
      <w:bCs/>
    </w:rPr>
  </w:style>
  <w:style w:type="character" w:styleId="ac">
    <w:name w:val="Emphasis"/>
    <w:basedOn w:val="a0"/>
    <w:qFormat/>
    <w:rPr>
      <w:i/>
      <w:iCs/>
    </w:rPr>
  </w:style>
  <w:style w:type="character" w:customStyle="1" w:styleId="ad">
    <w:name w:val="Нижний колонтитул Знак"/>
    <w:basedOn w:val="a0"/>
    <w:qFormat/>
    <w:rPr>
      <w:rFonts w:ascii="Calibri" w:eastAsia="Times New Roman" w:hAnsi="Calibri" w:cs="Calibri"/>
    </w:rPr>
  </w:style>
  <w:style w:type="character" w:customStyle="1" w:styleId="FooterChar">
    <w:name w:val="Footer Char"/>
    <w:basedOn w:val="a0"/>
    <w:qFormat/>
    <w:rPr>
      <w:sz w:val="20"/>
      <w:szCs w:val="20"/>
    </w:rPr>
  </w:style>
  <w:style w:type="character" w:customStyle="1" w:styleId="60">
    <w:name w:val="Основной текст (6)_"/>
    <w:basedOn w:val="a0"/>
    <w:qFormat/>
    <w:rPr>
      <w:sz w:val="21"/>
      <w:szCs w:val="21"/>
      <w:highlight w:val="white"/>
    </w:rPr>
  </w:style>
  <w:style w:type="character" w:customStyle="1" w:styleId="-">
    <w:name w:val="*П-ПОСТАНОВЛЯЮ: Знак"/>
    <w:qFormat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e">
    <w:name w:val="Текст Знак"/>
    <w:basedOn w:val="a0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0"/>
    <w:qFormat/>
    <w:rPr>
      <w:rFonts w:ascii="Courier New" w:hAnsi="Courier New" w:cs="Courier New"/>
      <w:sz w:val="20"/>
      <w:szCs w:val="20"/>
    </w:rPr>
  </w:style>
  <w:style w:type="character" w:customStyle="1" w:styleId="FootnoteTextChar">
    <w:name w:val="Footnote Text Char"/>
    <w:basedOn w:val="a0"/>
    <w:qFormat/>
    <w:rPr>
      <w:sz w:val="20"/>
      <w:szCs w:val="20"/>
    </w:rPr>
  </w:style>
  <w:style w:type="character" w:styleId="af">
    <w:name w:val="page number"/>
    <w:basedOn w:val="a0"/>
  </w:style>
  <w:style w:type="character" w:customStyle="1" w:styleId="22">
    <w:name w:val="Основной текст с отступом 2 Знак"/>
    <w:basedOn w:val="a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CharLFO1LVL1">
    <w:name w:val="WW_CharLFO1LVL1"/>
    <w:qFormat/>
    <w:rPr>
      <w:rFonts w:ascii="Symbol" w:hAnsi="Symbol"/>
      <w:sz w:val="20"/>
    </w:rPr>
  </w:style>
  <w:style w:type="character" w:customStyle="1" w:styleId="WWCharLFO1LVL2">
    <w:name w:val="WW_CharLFO1LVL2"/>
    <w:qFormat/>
    <w:rPr>
      <w:rFonts w:ascii="Courier New" w:hAnsi="Courier New"/>
      <w:sz w:val="20"/>
    </w:rPr>
  </w:style>
  <w:style w:type="character" w:customStyle="1" w:styleId="WWCharLFO1LVL3">
    <w:name w:val="WW_CharLFO1LVL3"/>
    <w:qFormat/>
    <w:rPr>
      <w:rFonts w:ascii="Wingdings" w:hAnsi="Wingdings"/>
      <w:sz w:val="20"/>
    </w:rPr>
  </w:style>
  <w:style w:type="character" w:customStyle="1" w:styleId="WWCharLFO1LVL4">
    <w:name w:val="WW_CharLFO1LVL4"/>
    <w:qFormat/>
    <w:rPr>
      <w:rFonts w:ascii="Wingdings" w:hAnsi="Wingdings"/>
      <w:sz w:val="20"/>
    </w:rPr>
  </w:style>
  <w:style w:type="character" w:customStyle="1" w:styleId="WWCharLFO1LVL5">
    <w:name w:val="WW_CharLFO1LVL5"/>
    <w:qFormat/>
    <w:rPr>
      <w:rFonts w:ascii="Wingdings" w:hAnsi="Wingdings"/>
      <w:sz w:val="20"/>
    </w:rPr>
  </w:style>
  <w:style w:type="character" w:customStyle="1" w:styleId="WWCharLFO1LVL6">
    <w:name w:val="WW_CharLFO1LVL6"/>
    <w:qFormat/>
    <w:rPr>
      <w:rFonts w:ascii="Wingdings" w:hAnsi="Wingdings"/>
      <w:sz w:val="20"/>
    </w:rPr>
  </w:style>
  <w:style w:type="character" w:customStyle="1" w:styleId="WWCharLFO1LVL7">
    <w:name w:val="WW_CharLFO1LVL7"/>
    <w:qFormat/>
    <w:rPr>
      <w:rFonts w:ascii="Wingdings" w:hAnsi="Wingdings"/>
      <w:sz w:val="20"/>
    </w:rPr>
  </w:style>
  <w:style w:type="character" w:customStyle="1" w:styleId="WWCharLFO1LVL8">
    <w:name w:val="WW_CharLFO1LVL8"/>
    <w:qFormat/>
    <w:rPr>
      <w:rFonts w:ascii="Wingdings" w:hAnsi="Wingdings"/>
      <w:sz w:val="20"/>
    </w:rPr>
  </w:style>
  <w:style w:type="character" w:customStyle="1" w:styleId="WWCharLFO1LVL9">
    <w:name w:val="WW_CharLFO1LVL9"/>
    <w:qFormat/>
    <w:rPr>
      <w:rFonts w:ascii="Wingdings" w:hAnsi="Wingdings"/>
      <w:sz w:val="20"/>
    </w:rPr>
  </w:style>
  <w:style w:type="character" w:customStyle="1" w:styleId="WWCharLFO3LVL1">
    <w:name w:val="WW_CharLFO3LVL1"/>
    <w:qFormat/>
    <w:rPr>
      <w:rFonts w:ascii="Symbol" w:hAnsi="Symbol"/>
      <w:sz w:val="20"/>
    </w:rPr>
  </w:style>
  <w:style w:type="character" w:customStyle="1" w:styleId="WWCharLFO3LVL2">
    <w:name w:val="WW_CharLFO3LVL2"/>
    <w:qFormat/>
    <w:rPr>
      <w:rFonts w:ascii="Courier New" w:hAnsi="Courier New"/>
      <w:sz w:val="20"/>
    </w:rPr>
  </w:style>
  <w:style w:type="character" w:customStyle="1" w:styleId="WWCharLFO3LVL3">
    <w:name w:val="WW_CharLFO3LVL3"/>
    <w:qFormat/>
    <w:rPr>
      <w:rFonts w:ascii="Wingdings" w:hAnsi="Wingdings"/>
      <w:sz w:val="20"/>
    </w:rPr>
  </w:style>
  <w:style w:type="character" w:customStyle="1" w:styleId="WWCharLFO3LVL4">
    <w:name w:val="WW_CharLFO3LVL4"/>
    <w:qFormat/>
    <w:rPr>
      <w:rFonts w:ascii="Wingdings" w:hAnsi="Wingdings"/>
      <w:sz w:val="20"/>
    </w:rPr>
  </w:style>
  <w:style w:type="character" w:customStyle="1" w:styleId="WWCharLFO3LVL5">
    <w:name w:val="WW_CharLFO3LVL5"/>
    <w:qFormat/>
    <w:rPr>
      <w:rFonts w:ascii="Wingdings" w:hAnsi="Wingdings"/>
      <w:sz w:val="20"/>
    </w:rPr>
  </w:style>
  <w:style w:type="character" w:customStyle="1" w:styleId="WWCharLFO3LVL6">
    <w:name w:val="WW_CharLFO3LVL6"/>
    <w:qFormat/>
    <w:rPr>
      <w:rFonts w:ascii="Wingdings" w:hAnsi="Wingdings"/>
      <w:sz w:val="20"/>
    </w:rPr>
  </w:style>
  <w:style w:type="character" w:customStyle="1" w:styleId="WWCharLFO3LVL7">
    <w:name w:val="WW_CharLFO3LVL7"/>
    <w:qFormat/>
    <w:rPr>
      <w:rFonts w:ascii="Wingdings" w:hAnsi="Wingdings"/>
      <w:sz w:val="20"/>
    </w:rPr>
  </w:style>
  <w:style w:type="character" w:customStyle="1" w:styleId="WWCharLFO3LVL8">
    <w:name w:val="WW_CharLFO3LVL8"/>
    <w:qFormat/>
    <w:rPr>
      <w:rFonts w:ascii="Wingdings" w:hAnsi="Wingdings"/>
      <w:sz w:val="20"/>
    </w:rPr>
  </w:style>
  <w:style w:type="character" w:customStyle="1" w:styleId="WWCharLFO3LVL9">
    <w:name w:val="WW_CharLFO3LVL9"/>
    <w:qFormat/>
    <w:rPr>
      <w:rFonts w:ascii="Wingdings" w:hAnsi="Wingdings"/>
      <w:sz w:val="20"/>
    </w:rPr>
  </w:style>
  <w:style w:type="character" w:customStyle="1" w:styleId="WWCharLFO4LVL1">
    <w:name w:val="WW_CharLFO4LVL1"/>
    <w:qFormat/>
    <w:rPr>
      <w:rFonts w:ascii="Symbol" w:hAnsi="Symbol"/>
      <w:sz w:val="20"/>
    </w:rPr>
  </w:style>
  <w:style w:type="character" w:customStyle="1" w:styleId="WWCharLFO4LVL2">
    <w:name w:val="WW_CharLFO4LVL2"/>
    <w:qFormat/>
    <w:rPr>
      <w:rFonts w:ascii="Courier New" w:hAnsi="Courier New"/>
      <w:sz w:val="20"/>
    </w:rPr>
  </w:style>
  <w:style w:type="character" w:customStyle="1" w:styleId="WWCharLFO4LVL3">
    <w:name w:val="WW_CharLFO4LVL3"/>
    <w:qFormat/>
    <w:rPr>
      <w:rFonts w:ascii="Wingdings" w:hAnsi="Wingdings"/>
      <w:sz w:val="20"/>
    </w:rPr>
  </w:style>
  <w:style w:type="character" w:customStyle="1" w:styleId="WWCharLFO4LVL4">
    <w:name w:val="WW_CharLFO4LVL4"/>
    <w:qFormat/>
    <w:rPr>
      <w:rFonts w:ascii="Wingdings" w:hAnsi="Wingdings"/>
      <w:sz w:val="20"/>
    </w:rPr>
  </w:style>
  <w:style w:type="character" w:customStyle="1" w:styleId="WWCharLFO4LVL5">
    <w:name w:val="WW_CharLFO4LVL5"/>
    <w:qFormat/>
    <w:rPr>
      <w:rFonts w:ascii="Wingdings" w:hAnsi="Wingdings"/>
      <w:sz w:val="20"/>
    </w:rPr>
  </w:style>
  <w:style w:type="character" w:customStyle="1" w:styleId="WWCharLFO4LVL6">
    <w:name w:val="WW_CharLFO4LVL6"/>
    <w:qFormat/>
    <w:rPr>
      <w:rFonts w:ascii="Wingdings" w:hAnsi="Wingdings"/>
      <w:sz w:val="20"/>
    </w:rPr>
  </w:style>
  <w:style w:type="character" w:customStyle="1" w:styleId="WWCharLFO4LVL7">
    <w:name w:val="WW_CharLFO4LVL7"/>
    <w:qFormat/>
    <w:rPr>
      <w:rFonts w:ascii="Wingdings" w:hAnsi="Wingdings"/>
      <w:sz w:val="20"/>
    </w:rPr>
  </w:style>
  <w:style w:type="character" w:customStyle="1" w:styleId="WWCharLFO4LVL8">
    <w:name w:val="WW_CharLFO4LVL8"/>
    <w:qFormat/>
    <w:rPr>
      <w:rFonts w:ascii="Wingdings" w:hAnsi="Wingdings"/>
      <w:sz w:val="20"/>
    </w:rPr>
  </w:style>
  <w:style w:type="character" w:customStyle="1" w:styleId="WWCharLFO4LVL9">
    <w:name w:val="WW_CharLFO4LVL9"/>
    <w:qFormat/>
    <w:rPr>
      <w:rFonts w:ascii="Wingdings" w:hAnsi="Wingdings"/>
      <w:sz w:val="20"/>
    </w:rPr>
  </w:style>
  <w:style w:type="character" w:customStyle="1" w:styleId="WWCharLFO5LVL1">
    <w:name w:val="WW_CharLFO5LVL1"/>
    <w:qFormat/>
    <w:rPr>
      <w:rFonts w:ascii="Symbol" w:hAnsi="Symbol"/>
      <w:sz w:val="20"/>
    </w:rPr>
  </w:style>
  <w:style w:type="character" w:customStyle="1" w:styleId="WWCharLFO5LVL2">
    <w:name w:val="WW_CharLFO5LVL2"/>
    <w:qFormat/>
    <w:rPr>
      <w:rFonts w:ascii="Courier New" w:hAnsi="Courier New"/>
      <w:sz w:val="20"/>
    </w:rPr>
  </w:style>
  <w:style w:type="character" w:customStyle="1" w:styleId="WWCharLFO5LVL3">
    <w:name w:val="WW_CharLFO5LVL3"/>
    <w:qFormat/>
    <w:rPr>
      <w:rFonts w:ascii="Wingdings" w:hAnsi="Wingdings"/>
      <w:sz w:val="20"/>
    </w:rPr>
  </w:style>
  <w:style w:type="character" w:customStyle="1" w:styleId="WWCharLFO5LVL4">
    <w:name w:val="WW_CharLFO5LVL4"/>
    <w:qFormat/>
    <w:rPr>
      <w:rFonts w:ascii="Wingdings" w:hAnsi="Wingdings"/>
      <w:sz w:val="20"/>
    </w:rPr>
  </w:style>
  <w:style w:type="character" w:customStyle="1" w:styleId="WWCharLFO5LVL5">
    <w:name w:val="WW_CharLFO5LVL5"/>
    <w:qFormat/>
    <w:rPr>
      <w:rFonts w:ascii="Wingdings" w:hAnsi="Wingdings"/>
      <w:sz w:val="20"/>
    </w:rPr>
  </w:style>
  <w:style w:type="character" w:customStyle="1" w:styleId="WWCharLFO5LVL6">
    <w:name w:val="WW_CharLFO5LVL6"/>
    <w:qFormat/>
    <w:rPr>
      <w:rFonts w:ascii="Wingdings" w:hAnsi="Wingdings"/>
      <w:sz w:val="20"/>
    </w:rPr>
  </w:style>
  <w:style w:type="character" w:customStyle="1" w:styleId="WWCharLFO5LVL7">
    <w:name w:val="WW_CharLFO5LVL7"/>
    <w:qFormat/>
    <w:rPr>
      <w:rFonts w:ascii="Wingdings" w:hAnsi="Wingdings"/>
      <w:sz w:val="20"/>
    </w:rPr>
  </w:style>
  <w:style w:type="character" w:customStyle="1" w:styleId="WWCharLFO5LVL8">
    <w:name w:val="WW_CharLFO5LVL8"/>
    <w:qFormat/>
    <w:rPr>
      <w:rFonts w:ascii="Wingdings" w:hAnsi="Wingdings"/>
      <w:sz w:val="20"/>
    </w:rPr>
  </w:style>
  <w:style w:type="character" w:customStyle="1" w:styleId="WWCharLFO5LVL9">
    <w:name w:val="WW_CharLFO5LVL9"/>
    <w:qFormat/>
    <w:rPr>
      <w:rFonts w:ascii="Wingdings" w:hAnsi="Wingdings"/>
      <w:sz w:val="20"/>
    </w:rPr>
  </w:style>
  <w:style w:type="character" w:customStyle="1" w:styleId="WWCharLFO6LVL1">
    <w:name w:val="WW_CharLFO6LVL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CharLFO10LVL1">
    <w:name w:val="WW_CharLFO10LVL1"/>
    <w:qFormat/>
    <w:rPr>
      <w:rFonts w:ascii="Courier New" w:eastAsia="Times New Roman" w:hAnsi="Courier New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19"/>
      <w:u w:val="none"/>
      <w:vertAlign w:val="baseline"/>
    </w:rPr>
  </w:style>
  <w:style w:type="character" w:customStyle="1" w:styleId="WWCharLFO10LVL2">
    <w:name w:val="WW_CharLFO10LVL2"/>
    <w:qFormat/>
    <w:rPr>
      <w:rFonts w:cs="Times New Roman"/>
    </w:rPr>
  </w:style>
  <w:style w:type="character" w:customStyle="1" w:styleId="WWCharLFO10LVL3">
    <w:name w:val="WW_CharLFO10LVL3"/>
    <w:qFormat/>
    <w:rPr>
      <w:rFonts w:cs="Times New Roman"/>
    </w:rPr>
  </w:style>
  <w:style w:type="character" w:customStyle="1" w:styleId="WWCharLFO10LVL4">
    <w:name w:val="WW_CharLFO10LVL4"/>
    <w:qFormat/>
    <w:rPr>
      <w:rFonts w:cs="Times New Roman"/>
    </w:rPr>
  </w:style>
  <w:style w:type="character" w:customStyle="1" w:styleId="WWCharLFO10LVL5">
    <w:name w:val="WW_CharLFO10LVL5"/>
    <w:qFormat/>
    <w:rPr>
      <w:rFonts w:cs="Times New Roman"/>
    </w:rPr>
  </w:style>
  <w:style w:type="character" w:customStyle="1" w:styleId="WWCharLFO10LVL6">
    <w:name w:val="WW_CharLFO10LVL6"/>
    <w:qFormat/>
    <w:rPr>
      <w:rFonts w:cs="Times New Roman"/>
    </w:rPr>
  </w:style>
  <w:style w:type="character" w:customStyle="1" w:styleId="WWCharLFO10LVL7">
    <w:name w:val="WW_CharLFO10LVL7"/>
    <w:qFormat/>
    <w:rPr>
      <w:rFonts w:cs="Times New Roman"/>
    </w:rPr>
  </w:style>
  <w:style w:type="character" w:customStyle="1" w:styleId="WWCharLFO10LVL8">
    <w:name w:val="WW_CharLFO10LVL8"/>
    <w:qFormat/>
    <w:rPr>
      <w:rFonts w:cs="Times New Roman"/>
    </w:rPr>
  </w:style>
  <w:style w:type="character" w:customStyle="1" w:styleId="WWCharLFO10LVL9">
    <w:name w:val="WW_CharLFO10LVL9"/>
    <w:qFormat/>
    <w:rPr>
      <w:rFonts w:cs="Times New Roman"/>
    </w:rPr>
  </w:style>
  <w:style w:type="character" w:customStyle="1" w:styleId="WWCharLFO11LVL1">
    <w:name w:val="WW_CharLFO11LVL1"/>
    <w:qFormat/>
    <w:rPr>
      <w:rFonts w:cs="Times New Roman"/>
    </w:rPr>
  </w:style>
  <w:style w:type="character" w:customStyle="1" w:styleId="WWCharLFO11LVL2">
    <w:name w:val="WW_CharLFO11LVL2"/>
    <w:qFormat/>
    <w:rPr>
      <w:rFonts w:cs="Times New Roman"/>
    </w:rPr>
  </w:style>
  <w:style w:type="character" w:customStyle="1" w:styleId="WWCharLFO11LVL3">
    <w:name w:val="WW_CharLFO11LVL3"/>
    <w:qFormat/>
    <w:rPr>
      <w:rFonts w:cs="Times New Roman"/>
    </w:rPr>
  </w:style>
  <w:style w:type="character" w:customStyle="1" w:styleId="WWCharLFO11LVL4">
    <w:name w:val="WW_CharLFO11LVL4"/>
    <w:qFormat/>
    <w:rPr>
      <w:rFonts w:cs="Times New Roman"/>
    </w:rPr>
  </w:style>
  <w:style w:type="character" w:customStyle="1" w:styleId="WWCharLFO11LVL5">
    <w:name w:val="WW_CharLFO11LVL5"/>
    <w:qFormat/>
    <w:rPr>
      <w:rFonts w:cs="Times New Roman"/>
    </w:rPr>
  </w:style>
  <w:style w:type="character" w:customStyle="1" w:styleId="WWCharLFO11LVL6">
    <w:name w:val="WW_CharLFO11LVL6"/>
    <w:qFormat/>
    <w:rPr>
      <w:rFonts w:cs="Times New Roman"/>
    </w:rPr>
  </w:style>
  <w:style w:type="character" w:customStyle="1" w:styleId="WWCharLFO11LVL7">
    <w:name w:val="WW_CharLFO11LVL7"/>
    <w:qFormat/>
    <w:rPr>
      <w:rFonts w:cs="Times New Roman"/>
    </w:rPr>
  </w:style>
  <w:style w:type="character" w:customStyle="1" w:styleId="WWCharLFO11LVL8">
    <w:name w:val="WW_CharLFO11LVL8"/>
    <w:qFormat/>
    <w:rPr>
      <w:rFonts w:cs="Times New Roman"/>
    </w:rPr>
  </w:style>
  <w:style w:type="character" w:customStyle="1" w:styleId="WWCharLFO11LVL9">
    <w:name w:val="WW_CharLFO11LVL9"/>
    <w:qFormat/>
    <w:rPr>
      <w:rFonts w:cs="Times New Roman"/>
    </w:rPr>
  </w:style>
  <w:style w:type="character" w:customStyle="1" w:styleId="WWCharLFO12LVL1">
    <w:name w:val="WW_CharLFO12LVL1"/>
    <w:qFormat/>
    <w:rPr>
      <w:rFonts w:ascii="Times New Roman" w:hAnsi="Times New Roman" w:cs="Times New Roman"/>
    </w:rPr>
  </w:style>
  <w:style w:type="character" w:customStyle="1" w:styleId="WWCharLFO12LVL2">
    <w:name w:val="WW_CharLFO12LVL2"/>
    <w:qFormat/>
    <w:rPr>
      <w:rFonts w:ascii="Courier New" w:hAnsi="Courier New" w:cs="Courier New"/>
    </w:rPr>
  </w:style>
  <w:style w:type="character" w:customStyle="1" w:styleId="WWCharLFO12LVL3">
    <w:name w:val="WW_CharLFO12LVL3"/>
    <w:qFormat/>
    <w:rPr>
      <w:rFonts w:ascii="Wingdings" w:hAnsi="Wingdings"/>
    </w:rPr>
  </w:style>
  <w:style w:type="character" w:customStyle="1" w:styleId="WWCharLFO12LVL4">
    <w:name w:val="WW_CharLFO12LVL4"/>
    <w:qFormat/>
    <w:rPr>
      <w:rFonts w:ascii="Symbol" w:hAnsi="Symbol"/>
    </w:rPr>
  </w:style>
  <w:style w:type="character" w:customStyle="1" w:styleId="WWCharLFO12LVL5">
    <w:name w:val="WW_CharLFO12LVL5"/>
    <w:qFormat/>
    <w:rPr>
      <w:rFonts w:ascii="Courier New" w:hAnsi="Courier New" w:cs="Courier New"/>
    </w:rPr>
  </w:style>
  <w:style w:type="character" w:customStyle="1" w:styleId="WWCharLFO12LVL6">
    <w:name w:val="WW_CharLFO12LVL6"/>
    <w:qFormat/>
    <w:rPr>
      <w:rFonts w:ascii="Wingdings" w:hAnsi="Wingdings"/>
    </w:rPr>
  </w:style>
  <w:style w:type="character" w:customStyle="1" w:styleId="WWCharLFO12LVL7">
    <w:name w:val="WW_CharLFO12LVL7"/>
    <w:qFormat/>
    <w:rPr>
      <w:rFonts w:ascii="Symbol" w:hAnsi="Symbol"/>
    </w:rPr>
  </w:style>
  <w:style w:type="character" w:customStyle="1" w:styleId="WWCharLFO12LVL8">
    <w:name w:val="WW_CharLFO12LVL8"/>
    <w:qFormat/>
    <w:rPr>
      <w:rFonts w:ascii="Courier New" w:hAnsi="Courier New" w:cs="Courier New"/>
    </w:rPr>
  </w:style>
  <w:style w:type="character" w:customStyle="1" w:styleId="WWCharLFO12LVL9">
    <w:name w:val="WW_CharLFO12LVL9"/>
    <w:qFormat/>
    <w:rPr>
      <w:rFonts w:ascii="Wingdings" w:hAnsi="Wingdings"/>
    </w:rPr>
  </w:style>
  <w:style w:type="character" w:customStyle="1" w:styleId="WWCharLFO13LVL1">
    <w:name w:val="WW_CharLFO13LVL1"/>
    <w:qFormat/>
    <w:rPr>
      <w:rFonts w:cs="Times New Roman"/>
    </w:rPr>
  </w:style>
  <w:style w:type="character" w:customStyle="1" w:styleId="WWCharLFO13LVL2">
    <w:name w:val="WW_CharLFO13LVL2"/>
    <w:qFormat/>
    <w:rPr>
      <w:rFonts w:cs="Times New Roman"/>
    </w:rPr>
  </w:style>
  <w:style w:type="character" w:customStyle="1" w:styleId="WWCharLFO13LVL3">
    <w:name w:val="WW_CharLFO13LVL3"/>
    <w:qFormat/>
    <w:rPr>
      <w:rFonts w:cs="Times New Roman"/>
    </w:rPr>
  </w:style>
  <w:style w:type="character" w:customStyle="1" w:styleId="WWCharLFO13LVL4">
    <w:name w:val="WW_CharLFO13LVL4"/>
    <w:qFormat/>
    <w:rPr>
      <w:rFonts w:cs="Times New Roman"/>
    </w:rPr>
  </w:style>
  <w:style w:type="character" w:customStyle="1" w:styleId="WWCharLFO13LVL5">
    <w:name w:val="WW_CharLFO13LVL5"/>
    <w:qFormat/>
    <w:rPr>
      <w:rFonts w:cs="Times New Roman"/>
    </w:rPr>
  </w:style>
  <w:style w:type="character" w:customStyle="1" w:styleId="WWCharLFO13LVL6">
    <w:name w:val="WW_CharLFO13LVL6"/>
    <w:qFormat/>
    <w:rPr>
      <w:rFonts w:cs="Times New Roman"/>
    </w:rPr>
  </w:style>
  <w:style w:type="character" w:customStyle="1" w:styleId="WWCharLFO13LVL7">
    <w:name w:val="WW_CharLFO13LVL7"/>
    <w:qFormat/>
    <w:rPr>
      <w:rFonts w:cs="Times New Roman"/>
    </w:rPr>
  </w:style>
  <w:style w:type="character" w:customStyle="1" w:styleId="WWCharLFO13LVL8">
    <w:name w:val="WW_CharLFO13LVL8"/>
    <w:qFormat/>
    <w:rPr>
      <w:rFonts w:cs="Times New Roman"/>
    </w:rPr>
  </w:style>
  <w:style w:type="character" w:customStyle="1" w:styleId="WWCharLFO13LVL9">
    <w:name w:val="WW_CharLFO13LVL9"/>
    <w:qFormat/>
    <w:rPr>
      <w:rFonts w:cs="Times New Roman"/>
    </w:rPr>
  </w:style>
  <w:style w:type="character" w:customStyle="1" w:styleId="WWCharLFO14LVL1">
    <w:name w:val="WW_CharLFO14LVL1"/>
    <w:qFormat/>
    <w:rPr>
      <w:rFonts w:ascii="Symbol" w:hAnsi="Symbol"/>
    </w:rPr>
  </w:style>
  <w:style w:type="character" w:customStyle="1" w:styleId="WWCharLFO14LVL2">
    <w:name w:val="WW_CharLFO14LVL2"/>
    <w:qFormat/>
    <w:rPr>
      <w:rFonts w:ascii="Courier New" w:hAnsi="Courier New" w:cs="Courier New"/>
    </w:rPr>
  </w:style>
  <w:style w:type="character" w:customStyle="1" w:styleId="WWCharLFO14LVL3">
    <w:name w:val="WW_CharLFO14LVL3"/>
    <w:qFormat/>
    <w:rPr>
      <w:rFonts w:ascii="Wingdings" w:hAnsi="Wingdings"/>
    </w:rPr>
  </w:style>
  <w:style w:type="character" w:customStyle="1" w:styleId="WWCharLFO14LVL4">
    <w:name w:val="WW_CharLFO14LVL4"/>
    <w:qFormat/>
    <w:rPr>
      <w:rFonts w:ascii="Symbol" w:hAnsi="Symbol"/>
    </w:rPr>
  </w:style>
  <w:style w:type="character" w:customStyle="1" w:styleId="WWCharLFO14LVL5">
    <w:name w:val="WW_CharLFO14LVL5"/>
    <w:qFormat/>
    <w:rPr>
      <w:rFonts w:ascii="Courier New" w:hAnsi="Courier New" w:cs="Courier New"/>
    </w:rPr>
  </w:style>
  <w:style w:type="character" w:customStyle="1" w:styleId="WWCharLFO14LVL6">
    <w:name w:val="WW_CharLFO14LVL6"/>
    <w:qFormat/>
    <w:rPr>
      <w:rFonts w:ascii="Wingdings" w:hAnsi="Wingdings"/>
    </w:rPr>
  </w:style>
  <w:style w:type="character" w:customStyle="1" w:styleId="WWCharLFO14LVL7">
    <w:name w:val="WW_CharLFO14LVL7"/>
    <w:qFormat/>
    <w:rPr>
      <w:rFonts w:ascii="Symbol" w:hAnsi="Symbol"/>
    </w:rPr>
  </w:style>
  <w:style w:type="character" w:customStyle="1" w:styleId="WWCharLFO14LVL8">
    <w:name w:val="WW_CharLFO14LVL8"/>
    <w:qFormat/>
    <w:rPr>
      <w:rFonts w:ascii="Courier New" w:hAnsi="Courier New" w:cs="Courier New"/>
    </w:rPr>
  </w:style>
  <w:style w:type="character" w:customStyle="1" w:styleId="WWCharLFO14LVL9">
    <w:name w:val="WW_CharLFO14LVL9"/>
    <w:qFormat/>
    <w:rPr>
      <w:rFonts w:ascii="Wingdings" w:hAnsi="Wingdings"/>
    </w:rPr>
  </w:style>
  <w:style w:type="character" w:customStyle="1" w:styleId="af0">
    <w:name w:val="Привязка сноски"/>
    <w:qFormat/>
    <w:rPr>
      <w:vertAlign w:val="superscript"/>
    </w:rPr>
  </w:style>
  <w:style w:type="character" w:customStyle="1" w:styleId="af1">
    <w:name w:val="Символ сноски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Lucida Sans Unicode" w:hAnsi="Liberation Sans" w:cs="Tahoma"/>
      <w:sz w:val="28"/>
      <w:szCs w:val="28"/>
    </w:rPr>
  </w:style>
  <w:style w:type="paragraph" w:styleId="af3">
    <w:name w:val="Body Text"/>
    <w:basedOn w:val="a"/>
    <w:pPr>
      <w:overflowPunct/>
      <w:autoSpaceDE/>
      <w:spacing w:after="120"/>
      <w:textAlignment w:val="auto"/>
    </w:pPr>
    <w:rPr>
      <w:sz w:val="24"/>
      <w:szCs w:val="24"/>
    </w:rPr>
  </w:style>
  <w:style w:type="paragraph" w:styleId="af4">
    <w:name w:val="Normal (Web)"/>
    <w:basedOn w:val="a"/>
    <w:qFormat/>
    <w:pPr>
      <w:spacing w:before="100" w:after="100"/>
    </w:pPr>
    <w:rPr>
      <w:sz w:val="24"/>
      <w:szCs w:val="24"/>
    </w:rPr>
  </w:style>
  <w:style w:type="paragraph" w:styleId="af5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</w:rPr>
  </w:style>
  <w:style w:type="paragraph" w:styleId="af6">
    <w:name w:val="footnote text"/>
    <w:basedOn w:val="a"/>
    <w:qFormat/>
    <w:rPr>
      <w:rFonts w:ascii="Calibri" w:eastAsia="Calibri" w:hAnsi="Calibri"/>
    </w:rPr>
  </w:style>
  <w:style w:type="paragraph" w:styleId="af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23">
    <w:name w:val="Основной текст2"/>
    <w:basedOn w:val="a"/>
    <w:qFormat/>
    <w:pPr>
      <w:widowControl w:val="0"/>
      <w:shd w:val="clear" w:color="auto" w:fill="FFFFFF"/>
      <w:spacing w:before="300" w:after="160" w:line="326" w:lineRule="exact"/>
      <w:jc w:val="both"/>
    </w:pPr>
    <w:rPr>
      <w:sz w:val="27"/>
      <w:szCs w:val="27"/>
    </w:rPr>
  </w:style>
  <w:style w:type="paragraph" w:customStyle="1" w:styleId="ConsPlusNormal">
    <w:name w:val="ConsPlusNormal"/>
    <w:qFormat/>
    <w:pPr>
      <w:suppressAutoHyphens/>
      <w:autoSpaceDE w:val="0"/>
      <w:spacing w:line="240" w:lineRule="auto"/>
    </w:pPr>
    <w:rPr>
      <w:rFonts w:ascii="Arial" w:hAnsi="Arial" w:cs="Arial"/>
      <w:sz w:val="20"/>
      <w:szCs w:val="20"/>
    </w:rPr>
  </w:style>
  <w:style w:type="paragraph" w:styleId="24">
    <w:name w:val="Body Text 2"/>
    <w:basedOn w:val="a"/>
    <w:qFormat/>
    <w:pPr>
      <w:spacing w:after="120" w:line="480" w:lineRule="auto"/>
    </w:pPr>
  </w:style>
  <w:style w:type="paragraph" w:customStyle="1" w:styleId="ConsPlusTitle">
    <w:name w:val="ConsPlusTitle"/>
    <w:qFormat/>
    <w:pPr>
      <w:widowControl w:val="0"/>
      <w:suppressAutoHyphens/>
      <w:autoSpaceDE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qFormat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8">
    <w:name w:val="No Spacing"/>
    <w:qFormat/>
    <w:pPr>
      <w:suppressAutoHyphens/>
      <w:spacing w:line="240" w:lineRule="auto"/>
    </w:pPr>
    <w:rPr>
      <w:rFonts w:eastAsia="Times New Roman" w:cs="Calibri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qFormat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fa">
    <w:name w:val="Знак Знак Знак"/>
    <w:basedOn w:val="a"/>
    <w:qFormat/>
    <w:pPr>
      <w:overflowPunct/>
      <w:autoSpaceDE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Основной текст 21"/>
    <w:basedOn w:val="a"/>
    <w:qFormat/>
    <w:pPr>
      <w:overflowPunct/>
      <w:autoSpaceDE/>
      <w:ind w:right="4535"/>
      <w:textAlignment w:val="auto"/>
    </w:pPr>
    <w:rPr>
      <w:sz w:val="28"/>
      <w:szCs w:val="28"/>
      <w:lang w:eastAsia="ar-SA"/>
    </w:rPr>
  </w:style>
  <w:style w:type="paragraph" w:customStyle="1" w:styleId="afb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c">
    <w:name w:val="header"/>
    <w:basedOn w:val="a"/>
    <w:pPr>
      <w:tabs>
        <w:tab w:val="center" w:pos="4153"/>
        <w:tab w:val="right" w:pos="8306"/>
      </w:tabs>
      <w:overflowPunct/>
      <w:autoSpaceDE/>
      <w:textAlignment w:val="auto"/>
    </w:pPr>
  </w:style>
  <w:style w:type="paragraph" w:customStyle="1" w:styleId="Default">
    <w:name w:val="Default"/>
    <w:qFormat/>
    <w:pPr>
      <w:suppressAutoHyphens/>
      <w:autoSpaceDE w:val="0"/>
      <w:spacing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32">
    <w:name w:val="Body Text Indent 3"/>
    <w:basedOn w:val="a"/>
    <w:qFormat/>
    <w:pPr>
      <w:overflowPunct/>
      <w:autoSpaceDE/>
      <w:spacing w:after="120"/>
      <w:ind w:left="283"/>
      <w:textAlignment w:val="auto"/>
    </w:pPr>
    <w:rPr>
      <w:sz w:val="16"/>
      <w:szCs w:val="16"/>
    </w:rPr>
  </w:style>
  <w:style w:type="paragraph" w:customStyle="1" w:styleId="11">
    <w:name w:val="Без интервала1"/>
    <w:qFormat/>
    <w:pPr>
      <w:suppressAutoHyphens/>
      <w:spacing w:line="240" w:lineRule="auto"/>
    </w:pPr>
    <w:rPr>
      <w:rFonts w:eastAsia="Times New Roman" w:cs="Calibri"/>
    </w:rPr>
  </w:style>
  <w:style w:type="paragraph" w:customStyle="1" w:styleId="afd">
    <w:name w:val="Знак Знак Знак Знак Знак Знак Знак"/>
    <w:basedOn w:val="a"/>
    <w:qFormat/>
    <w:pPr>
      <w:overflowPunct/>
      <w:autoSpaceDE/>
      <w:textAlignment w:val="auto"/>
    </w:pPr>
    <w:rPr>
      <w:rFonts w:ascii="Verdana" w:hAnsi="Verdana" w:cs="Verdana"/>
      <w:sz w:val="24"/>
      <w:szCs w:val="24"/>
      <w:lang w:eastAsia="en-US"/>
    </w:rPr>
  </w:style>
  <w:style w:type="paragraph" w:customStyle="1" w:styleId="12">
    <w:name w:val="Абзац списка1"/>
    <w:basedOn w:val="a"/>
    <w:qFormat/>
    <w:pPr>
      <w:overflowPunct/>
      <w:autoSpaceDE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afe">
    <w:name w:val="Body Text Indent"/>
    <w:basedOn w:val="a"/>
    <w:pPr>
      <w:overflowPunct/>
      <w:autoSpaceDE/>
      <w:spacing w:after="120"/>
      <w:ind w:left="283"/>
      <w:textAlignment w:val="auto"/>
    </w:pPr>
    <w:rPr>
      <w:sz w:val="24"/>
      <w:szCs w:val="24"/>
    </w:rPr>
  </w:style>
  <w:style w:type="paragraph" w:styleId="aff">
    <w:name w:val="footer"/>
    <w:basedOn w:val="a"/>
    <w:pPr>
      <w:tabs>
        <w:tab w:val="center" w:pos="4677"/>
        <w:tab w:val="right" w:pos="9355"/>
      </w:tabs>
      <w:overflowPunct/>
      <w:autoSpaceDE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61">
    <w:name w:val="Основной текст (6)"/>
    <w:basedOn w:val="a"/>
    <w:qFormat/>
    <w:pPr>
      <w:shd w:val="clear" w:color="auto" w:fill="FFFFFF"/>
      <w:overflowPunct/>
      <w:autoSpaceDE/>
      <w:spacing w:after="1320" w:line="269" w:lineRule="exact"/>
      <w:ind w:hanging="1300"/>
      <w:jc w:val="right"/>
      <w:textAlignment w:val="auto"/>
    </w:pPr>
    <w:rPr>
      <w:rFonts w:ascii="Calibri" w:eastAsia="Calibri" w:hAnsi="Calibri"/>
      <w:sz w:val="21"/>
      <w:szCs w:val="21"/>
      <w:highlight w:val="white"/>
      <w:lang w:eastAsia="en-US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0">
    <w:name w:val="*П-ПОСТАНОВЛЯЮ:"/>
    <w:basedOn w:val="a"/>
    <w:qFormat/>
    <w:pPr>
      <w:overflowPunct/>
      <w:autoSpaceDE/>
      <w:jc w:val="both"/>
      <w:textAlignment w:val="auto"/>
    </w:pPr>
    <w:rPr>
      <w:b/>
      <w:bCs/>
      <w:color w:val="000000"/>
      <w:sz w:val="28"/>
      <w:szCs w:val="28"/>
    </w:rPr>
  </w:style>
  <w:style w:type="paragraph" w:styleId="aff0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f1">
    <w:name w:val="Plain Text"/>
    <w:basedOn w:val="a"/>
    <w:qFormat/>
    <w:pPr>
      <w:overflowPunct/>
      <w:autoSpaceDE/>
      <w:textAlignment w:val="auto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"/>
    <w:qFormat/>
    <w:pPr>
      <w:overflowPunct/>
      <w:autoSpaceDE/>
      <w:ind w:right="-902" w:firstLine="567"/>
      <w:jc w:val="both"/>
      <w:textAlignment w:val="auto"/>
    </w:pPr>
    <w:rPr>
      <w:sz w:val="28"/>
      <w:szCs w:val="28"/>
      <w:lang w:eastAsia="ar-SA"/>
    </w:rPr>
  </w:style>
  <w:style w:type="paragraph" w:customStyle="1" w:styleId="311">
    <w:name w:val="Основной текст 31"/>
    <w:basedOn w:val="a"/>
    <w:qFormat/>
    <w:pPr>
      <w:overflowPunct/>
      <w:autoSpaceDE/>
      <w:jc w:val="both"/>
      <w:textAlignment w:val="auto"/>
    </w:pPr>
    <w:rPr>
      <w:sz w:val="28"/>
      <w:szCs w:val="28"/>
      <w:lang w:eastAsia="ar-SA"/>
    </w:rPr>
  </w:style>
  <w:style w:type="paragraph" w:customStyle="1" w:styleId="aff2">
    <w:name w:val="Нормальный (таблица)"/>
    <w:basedOn w:val="a"/>
    <w:next w:val="a"/>
    <w:qFormat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styleId="25">
    <w:name w:val="Body Text Indent 2"/>
    <w:basedOn w:val="a"/>
    <w:qFormat/>
    <w:pPr>
      <w:overflowPunct/>
      <w:autoSpaceDE/>
      <w:spacing w:after="120" w:line="480" w:lineRule="auto"/>
      <w:ind w:left="283"/>
      <w:textAlignment w:val="auto"/>
    </w:pPr>
    <w:rPr>
      <w:sz w:val="28"/>
      <w:szCs w:val="28"/>
    </w:rPr>
  </w:style>
  <w:style w:type="paragraph" w:customStyle="1" w:styleId="13">
    <w:name w:val="Основной текст1"/>
    <w:basedOn w:val="a"/>
    <w:qFormat/>
    <w:pPr>
      <w:shd w:val="clear" w:color="auto" w:fill="FFFFFF"/>
      <w:overflowPunct/>
      <w:autoSpaceDE/>
      <w:spacing w:after="60" w:line="240" w:lineRule="atLeast"/>
      <w:textAlignment w:val="auto"/>
    </w:pPr>
    <w:rPr>
      <w:sz w:val="23"/>
      <w:szCs w:val="23"/>
      <w:highlight w:val="white"/>
    </w:rPr>
  </w:style>
  <w:style w:type="paragraph" w:customStyle="1" w:styleId="aff3">
    <w:name w:val="Таблицы (моноширинный)"/>
    <w:basedOn w:val="a"/>
    <w:next w:val="a"/>
    <w:qFormat/>
    <w:pPr>
      <w:widowControl w:val="0"/>
      <w:overflowPunct/>
      <w:jc w:val="both"/>
      <w:textAlignment w:val="auto"/>
    </w:pPr>
    <w:rPr>
      <w:rFonts w:ascii="Courier New" w:eastAsia="Calibri" w:hAnsi="Courier New" w:cs="Courier New"/>
      <w:sz w:val="24"/>
      <w:szCs w:val="24"/>
    </w:rPr>
  </w:style>
  <w:style w:type="paragraph" w:customStyle="1" w:styleId="aff4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5755</Words>
  <Characters>32808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dc:description/>
  <cp:lastModifiedBy>ОЛЯ</cp:lastModifiedBy>
  <cp:revision>3</cp:revision>
  <cp:lastPrinted>2018-02-14T12:21:00Z</cp:lastPrinted>
  <dcterms:created xsi:type="dcterms:W3CDTF">2020-03-20T08:56:00Z</dcterms:created>
  <dcterms:modified xsi:type="dcterms:W3CDTF">2020-03-20T08:56:00Z</dcterms:modified>
  <dc:language>ru-RU</dc:language>
</cp:coreProperties>
</file>