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ind w:left="0" w:right="0" w:hanging="0"/>
        <w:jc w:val="center"/>
        <w:rPr/>
      </w:pPr>
      <w:r>
        <w:rPr>
          <w:szCs w:val="28"/>
        </w:rPr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5" t="-311" r="-52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2"/>
        <w:widowControl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от 25.03.2021   № 20</w:t>
      </w: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5</w:t>
      </w:r>
    </w:p>
    <w:p>
      <w:pPr>
        <w:pStyle w:val="Style22"/>
        <w:widowControl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2"/>
        <w:widowControl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Об утверждении порядка формирования </w:t>
      </w:r>
    </w:p>
    <w:p>
      <w:pPr>
        <w:pStyle w:val="Style22"/>
        <w:widowControl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и ведения сводного плана надземных и подземных коммуникаций </w:t>
      </w:r>
    </w:p>
    <w:p>
      <w:pPr>
        <w:pStyle w:val="Style22"/>
        <w:widowControl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на территории Камышловского городского округа</w:t>
      </w:r>
    </w:p>
    <w:p>
      <w:pPr>
        <w:pStyle w:val="Style22"/>
        <w:widowControl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>
      <w:pPr>
        <w:pStyle w:val="Style22"/>
        <w:widowControl w:val="false"/>
        <w:suppressAutoHyphens w:val="true"/>
        <w:autoSpaceDE w:val="false"/>
        <w:ind w:left="0" w:right="0" w:firstLine="708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учитывая Протокол от 10.12.2020 года оперативного совещания Правительства Свердловской области от 15.12.2020 года №30-ОП, руководствуясь </w:t>
      </w: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Приказом Министерства строительства и развития инфраструктуры Свердловской области от 10.06.2020 года № 386-П «Об утверждении методических рекомендаций по формированию органами местного самоуправления муниципальных образований, расположенных на территории Свердловской области, сводного плана наземных и подземных коммуникаций»,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округа, администрация Камышловского городского округа</w:t>
      </w:r>
    </w:p>
    <w:p>
      <w:pPr>
        <w:pStyle w:val="Style22"/>
        <w:widowControl w:val="false"/>
        <w:suppressAutoHyphens w:val="true"/>
        <w:autoSpaceDE w:val="false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 Утвердить порядок формирования и ведения сводного плана надземных и подземных коммуникаций на территории Камышловского городского округа (прилагается).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</w:t>
      </w:r>
      <w:r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 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698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2"/>
        <w:autoSpaceDE w:val="false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  <w:tab/>
        <w:tab/>
        <w:tab/>
        <w:t xml:space="preserve">                                </w:t>
      </w:r>
      <w:r>
        <w:rPr>
          <w:rFonts w:ascii="Liberation Serif" w:hAnsi="Liberation Serif"/>
          <w:sz w:val="28"/>
          <w:szCs w:val="28"/>
        </w:rPr>
        <w:t>Е.А. Бессонов</w:t>
      </w:r>
    </w:p>
    <w:p>
      <w:pPr>
        <w:pStyle w:val="Style22"/>
        <w:widowControl/>
        <w:suppressAutoHyphens w:val="false"/>
        <w:ind w:left="5329" w:right="0" w:hanging="0"/>
        <w:jc w:val="left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Style22"/>
        <w:widowControl/>
        <w:suppressAutoHyphens w:val="false"/>
        <w:ind w:left="5329" w:right="0" w:hanging="0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администрации</w:t>
      </w:r>
    </w:p>
    <w:p>
      <w:pPr>
        <w:pStyle w:val="Style22"/>
        <w:widowControl/>
        <w:suppressAutoHyphens w:val="false"/>
        <w:ind w:left="5329" w:right="0" w:hanging="0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2"/>
        <w:widowControl/>
        <w:suppressAutoHyphens w:val="false"/>
        <w:ind w:left="5329" w:right="0" w:hanging="0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25.03.2021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205</w:t>
      </w:r>
    </w:p>
    <w:p>
      <w:pPr>
        <w:pStyle w:val="Style22"/>
        <w:widowControl/>
        <w:suppressAutoHyphens w:val="false"/>
        <w:jc w:val="righ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</w:p>
    <w:p>
      <w:pPr>
        <w:pStyle w:val="Style22"/>
        <w:widowControl/>
        <w:suppressAutoHyphens w:val="false"/>
        <w:jc w:val="center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ПОРЯДОК ФОРМИРОВАНИЯ И ВЕДЕНИЯ СВОДНОГО ПЛАНА </w:t>
      </w:r>
    </w:p>
    <w:p>
      <w:pPr>
        <w:pStyle w:val="Style22"/>
        <w:widowControl/>
        <w:suppressAutoHyphens w:val="false"/>
        <w:jc w:val="center"/>
        <w:textAlignment w:val="auto"/>
        <w:rPr/>
      </w:pPr>
      <w:r>
        <w:rPr>
          <w:rFonts w:ascii="Liberation Serif" w:hAnsi="Liberation Serif"/>
          <w:b/>
          <w:sz w:val="28"/>
          <w:szCs w:val="28"/>
        </w:rPr>
        <w:t xml:space="preserve">НАЗЕМНЫХ И ПОДЗЕМНЫХ КОММУНИКАЦИЙ НА ТЕРРИТОРИИ </w:t>
      </w:r>
      <w:r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>
      <w:pPr>
        <w:pStyle w:val="Style22"/>
        <w:widowControl/>
        <w:shd w:fill="FFFFFF" w:val="clear"/>
        <w:suppressAutoHyphens w:val="false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shd w:fill="FFFFFF" w:val="clear"/>
        <w:suppressAutoHyphens w:val="false"/>
        <w:jc w:val="center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Style22"/>
        <w:widowControl/>
        <w:shd w:fill="FFFFFF" w:val="clear"/>
        <w:suppressAutoHyphens w:val="false"/>
        <w:jc w:val="both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Настоящий Порядок определяет состав информации, подлежащей отображению в сводном плане наземных и подземных коммуникаций, на котором отображается местоположение существующих и проектируемых сетей инженерно-технического обеспечения  (тепло-, газо-, водоснабжения и водоотведения), электрических сетей, сетей связи и иных сетей коммунальной инфраструктуры (далее – Сводный план) порядок, формы и сроки включения такой информации в Сводный план, порядок формирования и ведения Сводного плана, порядок и сроки представления информации, содержащейся в Сводном плане, состав участников информационного взаимодействия и их полномочия.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Сводный план представляет собой цифровой план инженерного назначения, на котором в векторном виде в системе условных обозначений, отображается взаимоувязанная информация о видах и пространственном местоположении существующих (находящихся в эксплуатации и выведенных из эксплуатации, но не демонтированных) и проектируемых наземных и подземных инженерных коммуникаций, и сооружений, а также подземных частей зданий и сооружений, расположенных на территории Камышловского городского округа.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0" w:name="P61"/>
      <w:bookmarkEnd w:id="0"/>
      <w:r>
        <w:rPr>
          <w:rFonts w:ascii="Liberation Serif" w:hAnsi="Liberation Serif"/>
          <w:sz w:val="28"/>
          <w:szCs w:val="28"/>
        </w:rPr>
        <w:t>1.3. В состав сведений Сводного плана подлежит включению следующая информация: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1.3.1. Сведения о местоположении наземных и подземных коммуникаций и сооружений, полученные в результате производства инженерно-геодезических изысканий, проектирования, исполнительных и контрольных геодезических съемок.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1.3.2. Сведения о собственниках, балансодержателях и эксплуатирующих организациях наземных и подземных коммуникаций и сооружений.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1.3.3. Характеристики наземных и подземных коммуникаций и сооружений: назначение коммуникаций, диаметр и материал труб, тип и сечение каналов, число кабелей, проводов и (или) труб, вводы в здания (сооружения) наземных и подземных коммуникаций.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1.3.4. Значения высотных отметок: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всех углов поворота, мест изменения уклонов коммуникации, диаметров труб, мест присоединения ответвлений, пересечений с другими коммуникациями;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верха труб, каналов, коллекторов, пакетов (блоков) при кабельной канализации, бесколодезных прокладок;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низа каналов, коллекторов, пакетов (блоков) при кабельной канализации, входящих труб в перепадных колодцах, входящих и выходящих труб в колодцах-отстойниках;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дна и обечаек колодцев, лотков в самотечных сетях.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>1.4. Точность планового и высотного положения объектов, отображаемых на Сводном плане, определяется требованиями к точности инженерно-топографических планов масштаба 1:500 (для территорий городов с плотной сетью инженерных коммуникаций) и масштабов 1:1000, 1:2000 (для территорий городов, населенных пунктов с небольшой плотностью инженерных коммуникаций, межселенных территорий), установленными «</w:t>
      </w:r>
      <w:hyperlink r:id="rId4" w:tgtFrame="_top">
        <w:r>
          <w:rPr>
            <w:rStyle w:val="Style13"/>
            <w:rFonts w:ascii="Liberation Serif" w:hAnsi="Liberation Serif"/>
            <w:color w:val="0000FF"/>
            <w:sz w:val="28"/>
            <w:szCs w:val="28"/>
          </w:rPr>
          <w:t>СП 47.13330.2016</w:t>
        </w:r>
      </w:hyperlink>
      <w:r>
        <w:rPr>
          <w:rStyle w:val="Style13"/>
          <w:rFonts w:ascii="Liberation Serif" w:hAnsi="Liberation Serif"/>
          <w:sz w:val="28"/>
          <w:szCs w:val="28"/>
        </w:rPr>
        <w:t>. Инженерные изыскания для строительства. Основные положения. Актуализированная редакция СНиП 11-02-96».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Перечень видов наземных и подземных коммуникаций и сооружений: водопровод, водопровод промышленный, водосток, дренажные трубопроводы, канализационные сети, газопровод, теплопровод, специальные трубопроводы, кабели связи и технических средств управления, блочная канализация, тоннели, коллекторы, волноводы, сооружения электрокоррозионной защиты, подземные и наземные кабельные линии электропередачи, проводные линии электропередачи, колодцы подземных коммуникаций, решетки сточные, камеры на трубопроводах, смотровые люки, коверы, контрольные трубки, аварийные выпуски, водоразборные колонки, подземные части зданий и сооружений.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1.6. В целях обеспечения сохранности наземных и подземных коммуникаций и сооружений на территории  Камышловского городского округа исполнительные органы государственной власти Свердловской области, органы местного самоуправления муниципальных образований, организации, обладающие материалами и результатами инженерных изысканий, в том числе осуществляющие хранение архивных данных, собственники (правообладатели) наземных и подземных коммуникаций и сооружений, застройщики, технические заказчики или лица, получившие в соответствии с Земельным </w:t>
      </w:r>
      <w:hyperlink r:id="rId5" w:tgtFrame="_top">
        <w:r>
          <w:rPr>
            <w:rStyle w:val="Style13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имеющие в своем распоряжении информацию и/или материалы полученные в результате производства инженерно-геодезических изысканий, исполнительных и контрольных геодезических съемок наземных и подземных коммуникаций и сооружений, выполненных на территории, представляют их в администрацию Камышловского городского округа для формирования Сводного плана.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1.7. Сводный план формируется и ведется в электронной форме с использованием программно-технических средств, обеспечивающих представление информации, содержащейся в Сводном плане, в форматах, совместимых с государственной информационной системой обеспечения градостроительной деятельности Свердловской области (далее - ГИСОГД).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 Требования к структуре картографических данных и правилам цифрового описания объектов наземных и подземных коммуникаций и сооружений, представляемых для размещения в ГИСОГД, до момента установления Правительством Российской Федерации устанавливает орган исполнительной власти Свердловской области, уполномоченный на создание и эксплуатацию ГИСОГД.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1.9. Хранение и обработка информации, составляющей государственную тайну, в Сводном плане осуществляется в соответствии с законодательством Российской Федерации и законодательством Свердловской области.</w:t>
      </w:r>
    </w:p>
    <w:p>
      <w:pPr>
        <w:pStyle w:val="Style22"/>
        <w:widowControl w:val="false"/>
        <w:shd w:fill="FFFFFF" w:val="clear"/>
        <w:suppressAutoHyphens w:val="true"/>
        <w:jc w:val="center"/>
        <w:textAlignment w:val="auto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Style22"/>
        <w:widowControl w:val="false"/>
        <w:suppressAutoHyphens w:val="true"/>
        <w:autoSpaceDE w:val="false"/>
        <w:jc w:val="center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ПОРЯДОК ФОРМИРОВАНИЯ И ВЕДЕНИЯ СВОДНОГО ПЛАНА</w:t>
      </w:r>
    </w:p>
    <w:p>
      <w:pPr>
        <w:pStyle w:val="Style22"/>
        <w:widowControl w:val="false"/>
        <w:suppressAutoHyphens w:val="true"/>
        <w:autoSpaceDE w:val="false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>2.1. Организация работ по формированию и ведению Сводного плана осуществляется отделом архитектуры и градостроительства администрации Камышловского городского округа (далее - Отдел) совместно с отделом жилищно-коммунального и городского хозяйства администрации Камышловского городского округа и комитетом по управлению имуществом и земельным ресурсам администрации Камышловского городского округа.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Отдел организует работы по формированию и ведению Сводного плана и обеспечивает: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сбор, проверку, обработку, актуализацию, систематизацию, учет и размещение информации в Сводном плане, ее хранение и представление;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мероприятий по ведению Сводного плана с учетом требований по защите информации, установленных законодательством Российской Федерации.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Картографической основой формирования и ведения Сводного плана является система координат ведения Единого государственного реестра недвижимости Свердловской области (МСК-66) и Балтийская система высот.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2.4. Формирование и ведение Сводного плана осуществляется Отделом путем отображения в векторном виде (графическом и атрибутивном) информации, указанной в </w:t>
      </w:r>
      <w:hyperlink w:anchor="P61" w:tgtFrame="_top">
        <w:r>
          <w:rPr>
            <w:rStyle w:val="Style13"/>
            <w:rFonts w:ascii="Liberation Serif" w:hAnsi="Liberation Serif"/>
            <w:sz w:val="28"/>
            <w:szCs w:val="28"/>
          </w:rPr>
          <w:t>пункте 1.3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настоящего Порядка, полученной: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 архивных документов, материалов и сведений, накопленных администрацией Камышловского городского округа в информационной системе обеспечения градостроительной деятельности и (или) в ГИСОГД;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из Единого государственного реестра недвижимости и Единого государственного реестра заключений;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с организациями, эксплуатирующими сети инженерно-технического обеспечения, на основании заключенных соглашений;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 сведений, документов и материалов, полученных посредством информационного взаимодействия (запросов) с собственниками (правообладателями) сетей инженерно-технического обеспечения, на основании заключенных соглашений.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 Для формирования и ведения Сводного плана используются материалы и данные (далее - исходная информация), полученные в результате производства инженерно-геодезических изысканий, проектирования, исполнительных и контрольных геодезических съемок наземных и подземных коммуникаций и сооружений, выполненных на территории Камышловского городского округа: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>2.5.1. Технические отчеты, полученные в результате производства инженерно-геодезических изысканий, выполненных в соответствии с требованиями свода правил «</w:t>
      </w:r>
      <w:hyperlink r:id="rId6" w:tgtFrame="_top">
        <w:r>
          <w:rPr>
            <w:rStyle w:val="Style13"/>
            <w:rFonts w:ascii="Liberation Serif" w:hAnsi="Liberation Serif"/>
            <w:color w:val="0000FF"/>
            <w:sz w:val="28"/>
            <w:szCs w:val="28"/>
          </w:rPr>
          <w:t>СП 47.13330.2016</w:t>
        </w:r>
      </w:hyperlink>
      <w:r>
        <w:rPr>
          <w:rStyle w:val="Style13"/>
          <w:rFonts w:ascii="Liberation Serif" w:hAnsi="Liberation Serif"/>
          <w:sz w:val="28"/>
          <w:szCs w:val="28"/>
        </w:rPr>
        <w:t>. Инженерные изыскания для строительства. Основные положения. Актуализированная редакция СНиП 11-02-96», состоящие из текстовых и графических частей, а также приложений к ним (в текстовой, графической, цифровой и иных формах), содержащие созданные (обновленные) инженерно-топографические планы, планы (схемы) сетей наземных и подземных сооружений и инженерных коммуникаций с их техническими характеристиками, согласованные с собственником (эксплуатирующими организациями).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2.5.2. Инженерные информационные модели: 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строительства, состоящая из цифровой модели рельефа и цифровой модели ситуации.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2.5.3. Проектная документация, содержащая планы, продольные профили и иные графические материалы, на которых отражается проектное положение наземных и подземных коммуникаций и сооружений, каталоги проектных координат и высот характерных точек проектируемых наземных и подземных коммуникаций и сооружений, согласованная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изысканий, в случаях, если такое согласование требуется в соответствии с нормативными правовыми актами Российской Федерации.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>2.5.4. Исполнительная документация, содержащая исполнительные чертежи построенных (реконструированных) наземных и подземных коммуникаций и сооружений, выполненные в соответствии с требованиями свода правил «</w:t>
      </w:r>
      <w:hyperlink r:id="rId7" w:tgtFrame="_top">
        <w:r>
          <w:rPr>
            <w:rStyle w:val="Style13"/>
            <w:rFonts w:ascii="Liberation Serif" w:hAnsi="Liberation Serif"/>
            <w:color w:val="0000FF"/>
            <w:sz w:val="28"/>
            <w:szCs w:val="28"/>
          </w:rPr>
          <w:t>СП 126.13330.2017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. СНиП 3.01.03-84. Свод правил. Геодезические работы в строительстве», и исполнительные схемы подземных частей зданий и сооружений, постоянно закрепленных по окончании монтажа, с каталогами координат и высот характерных точек, оформленные в том числе в соответствии с требованиями стандарта </w:t>
      </w:r>
      <w:hyperlink r:id="rId8" w:tgtFrame="_top">
        <w:r>
          <w:rPr>
            <w:rStyle w:val="Style13"/>
            <w:rFonts w:ascii="Liberation Serif" w:hAnsi="Liberation Serif"/>
            <w:color w:val="0000FF"/>
            <w:sz w:val="28"/>
            <w:szCs w:val="28"/>
          </w:rPr>
          <w:t>ГОСТ Р 51872-2019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«Национальный стандарт Российской Федерации. Документация исполнительная геодезическая. Правила выполнения».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2.5.5. Каталоги координат и высот в составе исполнительных чертежей, исполнительных схем и проектной документации, информация в растровой, векторной форме, в форме инженерной информационной модели, имеющая координатную привязку, представляются для размещения в Сводном плане в системе координат ведения Единого государственного реестра недвижимости Свердловской области (МСК-66) и Балтийской системе высот.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2.5.6. При формировании и ведении Сводного плана отображение существующих наземных и подземных инженерных коммуникаций, и сооружений, не подтвержденных исполнительной документацией, производится со статусом «справочная».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 Ведение Сводного плана осуществляется путем систематического внесения Отделом информации в состав Сводного плана согласно настоящему Порядку, и утвержденной структуры картографических данных (классификатора) объектов, подлежащих отображению в Сводном плане.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2.7. Внесение информации в Сводный план осуществляется после процедуры проверки Отделом представленных электронных документов, материалов и данных на соответствие требованиям нормативных правовых актов, национальных стандартов,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Правильность отображения наземных и подземных коммуникаций и сооружений на исполнительных чертежах и схемах проверяют по результатам проведения работ по контрольной геодезической съемки.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Контрольная геодезическая съемка проводится организацией, уполномоченной администрацией Камышловского городского округа.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2.8. В случае выявления в ходе проверки нарушений требований нормативных правовых актов, национальных стандартов и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съемок, Отдел формирует документ, отражающий выявленные нарушения и отказ в размещении представленной информации в Сводный план.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Документ об отказе в размещении информации формируется в срок не более 10 рабочих дней со дня приема информации в Отдел.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2.9. Информация, размещенная в Сводном плане, должна содержать ссылки на сведения, документы и материалы, на основании которых она внесена.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2.10. При внесении изменений в состав информации Сводного плана в целях актуализации, обновления или устранения технических ошибок предыдущие редакции такой информации должны сохраняться.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2.11. Представление заключения о соответствии проектной документации Сводному плану осуществляется после формирования Сводного плана.</w:t>
      </w:r>
    </w:p>
    <w:p>
      <w:pPr>
        <w:pStyle w:val="Style22"/>
        <w:widowControl w:val="false"/>
        <w:shd w:fill="FFFFFF" w:val="clear"/>
        <w:suppressAutoHyphens w:val="true"/>
        <w:jc w:val="center"/>
        <w:textAlignment w:val="auto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Style22"/>
        <w:widowControl w:val="false"/>
        <w:shd w:fill="FFFFFF" w:val="clear"/>
        <w:suppressAutoHyphens w:val="true"/>
        <w:jc w:val="center"/>
        <w:textAlignment w:val="auto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Style22"/>
        <w:widowControl w:val="false"/>
        <w:shd w:fill="FFFFFF" w:val="clear"/>
        <w:suppressAutoHyphens w:val="true"/>
        <w:jc w:val="center"/>
        <w:textAlignment w:val="auto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Style22"/>
        <w:widowControl w:val="false"/>
        <w:shd w:fill="FFFFFF" w:val="clear"/>
        <w:suppressAutoHyphens w:val="true"/>
        <w:jc w:val="center"/>
        <w:textAlignment w:val="auto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Style22"/>
        <w:widowControl w:val="false"/>
        <w:suppressAutoHyphens w:val="true"/>
        <w:autoSpaceDE w:val="false"/>
        <w:jc w:val="center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ПОРЯДОК ПРЕДСТАВЛЕНИЯ ИНФОРМАЦИИ</w:t>
      </w:r>
    </w:p>
    <w:p>
      <w:pPr>
        <w:pStyle w:val="Style22"/>
        <w:widowControl w:val="false"/>
        <w:suppressAutoHyphens w:val="true"/>
        <w:autoSpaceDE w:val="false"/>
        <w:jc w:val="center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ВЕДЕНИЯ СВОДНОГО ПЛАНА</w:t>
      </w:r>
    </w:p>
    <w:p>
      <w:pPr>
        <w:pStyle w:val="Style22"/>
        <w:widowControl w:val="false"/>
        <w:suppressAutoHyphens w:val="true"/>
        <w:autoSpaceDE w:val="false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Исходная информация для ведения Сводного плана представляется в отдел в электронном виде в форме электронного документа и (или) электронного образа документа, подписанного отсоединенной (сохраненной отдельным файлом) усиленной квалифицированной электронной подписью уполномоченного лица.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представлении исходной информации в виде пакета файлов, такой пакет представляется в форме zip-файла, подписанного отсоединенной усиленной квалифицированной электронной подписью уполномоченного лица.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Ответственность за достоверность направляемой для включения в Сводный план исходной информации несут лица, направившие такую информацию.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 Представление исходной информации для ведения Сводного плана осуществляется с использованием федеральной государственной информационной системы «Единый портал государственных и муниципальных услуг (функций)» (далее - ЕПГУ) и многофункционального центра предоставления государственных и муниципальных услуг (далее - МФЦ).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направлении исходной информации через ЕПГУ идентификация и аутентификация заявителя осуществляется с использованием единой системы идентификации и аутентификации - ЕСИА.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 Прием исходной информации для ведения Сводного плана осуществляется бесплатно.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 Исходная информация для ведения Сводного плана представляется отделу 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если нормативными правовыми актами не определен формат документов и информации в электронном виде, такие документы и информация направляются в следующих форматах: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3.5.1. Информация с текстовым и табличным содержанием представляется в любом из следующих форматов: DOC, DOCX, ODT, XLS, XLSX и ODS.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3.5.2. Информация в растровой модели представляются в форматах: TIFF, JPEG и PDF (сформированным способом, не предусматривающим сканирование документа на бумажном носителе).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1" w:name="P120"/>
      <w:bookmarkEnd w:id="1"/>
      <w:r>
        <w:rPr>
          <w:rFonts w:ascii="Liberation Serif" w:hAnsi="Liberation Serif"/>
          <w:sz w:val="28"/>
          <w:szCs w:val="28"/>
        </w:rPr>
        <w:t>3.5.3. Пространственные данные в форме векторной модели представляются в обменных форматах: XML, GML и SHP.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3.5.4. В случае невозможности представления данных в форматах, указанных в </w:t>
      </w:r>
      <w:hyperlink w:anchor="P120" w:tgtFrame="_top">
        <w:r>
          <w:rPr>
            <w:rStyle w:val="Style13"/>
            <w:rFonts w:ascii="Liberation Serif" w:hAnsi="Liberation Serif"/>
            <w:sz w:val="28"/>
            <w:szCs w:val="28"/>
          </w:rPr>
          <w:t>пункте 3.5.3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настоящего Порядка, могут быть использованы обменные форматы MIF/MID, DWG и SXF (совместно с файлами описания RSC).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3.5.5. Пространственные данные в форме инженерной информационной модели представляются в открытых форматах обмена данными, установленных Правительством Российской Федерации.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3.5.6. Электронные образы документов, полученные посредством сканирования документов на бумажном носителе, представляются в формате PDF.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Сканирование осуществляется: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непосредственно с оригинала документа в масштабе 1:1 с разрешением 300 dpi;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«черно-белом» режиме при отсутствии в документе графических изображений и цветного текста;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режиме «полной цветопередачи» при наличии в документе цветных графических изображений либо цветного текста;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режиме «оттенки серого» при наличии в документе изображений, отличных от цветного изображения.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3.6. Представляемые пространственные данные должны иметь привязку к системе координат.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3.7. Представление исходной информации, составляющей государственную тайну,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тайны.</w:t>
      </w:r>
    </w:p>
    <w:p>
      <w:pPr>
        <w:pStyle w:val="Style22"/>
        <w:widowControl w:val="false"/>
        <w:shd w:fill="FFFFFF" w:val="clear"/>
        <w:suppressAutoHyphens w:val="true"/>
        <w:jc w:val="center"/>
        <w:textAlignment w:val="auto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Style22"/>
        <w:widowControl w:val="false"/>
        <w:suppressAutoHyphens w:val="true"/>
        <w:autoSpaceDE w:val="false"/>
        <w:jc w:val="center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ПОРЯДОК ПРЕДСТАВЛЕНИЯ ИНФОРМАЦИИ ИЗ СВОДНОГО ПЛАНА</w:t>
      </w:r>
    </w:p>
    <w:p>
      <w:pPr>
        <w:pStyle w:val="Style22"/>
        <w:widowControl w:val="false"/>
        <w:suppressAutoHyphens w:val="true"/>
        <w:autoSpaceDE w:val="false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Информация, содержащаяся в Сводном плане, представляется Отделом после завершения работ по его формированию с соблюдением требований законодательства Российской Федерации о защите государственной тайны.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 Представление информации из Сводного плана осуществляется Отделом по запросам органов государственной власти, органов местного самоуправления, физических и юридических лиц бесплатно в срок не более 7 рабочих дней.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 Представление информации из Сводного плана осуществляется в электронной форме в следующих электронных форматах данных: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TIFF, JPEG и PDF;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SHP, MIF/MID, DWG и SXF (совместно с файлами описания RSC).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 Информация представляется с привязкой к системе координат.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 Подача запроса о представлении информации из Сводного плана осуществляется с использованием ЕПГУ и МФЦ.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2" w:name="P141"/>
      <w:bookmarkEnd w:id="2"/>
      <w:r>
        <w:rPr>
          <w:rFonts w:ascii="Liberation Serif" w:hAnsi="Liberation Serif"/>
          <w:sz w:val="28"/>
          <w:szCs w:val="28"/>
        </w:rPr>
        <w:t>4.6. Запрос формируется заявителем с приложением сведений о границах запрашиваемого фрагмента Сводного плана (далее - фрагмент), формы представления, лицензии на осуществление работ, связанных с использованием сведений, составляющих государственную тайну (если для запрашиваемого фрагмента имеются режимные ограничения на распространение).</w:t>
      </w:r>
    </w:p>
    <w:p>
      <w:pPr>
        <w:pStyle w:val="Style22"/>
        <w:widowControl w:val="false"/>
        <w:suppressAutoHyphens w:val="true"/>
        <w:autoSpaceDE w:val="false"/>
        <w:ind w:left="0" w:right="0" w:firstLine="54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4.7. Основаниями для отказа в представлении информации являются отсутствие сведений в Сводном плане в запрашиваемых границах, отсутствие и непредставление или представление не в полном объеме документов, указанных в </w:t>
      </w:r>
      <w:hyperlink w:anchor="P141" w:tgtFrame="_top">
        <w:r>
          <w:rPr>
            <w:rStyle w:val="Style13"/>
            <w:rFonts w:ascii="Liberation Serif" w:hAnsi="Liberation Serif"/>
            <w:sz w:val="28"/>
            <w:szCs w:val="28"/>
          </w:rPr>
          <w:t>пункте 4.6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настоящего Порядка.</w:t>
      </w:r>
    </w:p>
    <w:p>
      <w:pPr>
        <w:pStyle w:val="Style22"/>
        <w:widowControl w:val="false"/>
        <w:suppressAutoHyphens w:val="tru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9"/>
      <w:type w:val="nextPage"/>
      <w:pgSz w:w="11906" w:h="16838"/>
      <w:pgMar w:left="1701" w:right="567" w:header="1134" w:top="698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left="0" w:right="36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left="0" w:right="36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2"/>
    <w:next w:val="Style22"/>
    <w:qFormat/>
    <w:pPr>
      <w:keepNext w:val="true"/>
      <w:widowControl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  <w:sz w:val="24"/>
      <w:szCs w:val="24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11">
    <w:name w:val="Заголовок 1 Знак"/>
    <w:qFormat/>
    <w:rPr>
      <w:rFonts w:eastAsia="Arial Unicode MS"/>
      <w:b/>
      <w:bCs/>
      <w:sz w:val="24"/>
      <w:szCs w:val="24"/>
    </w:rPr>
  </w:style>
  <w:style w:type="character" w:styleId="Style15">
    <w:name w:val="Название Знак"/>
    <w:qFormat/>
    <w:rPr>
      <w:b/>
      <w:bCs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Символ концевой сноски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Привязка концевой сноски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Style22"/>
    <w:pPr>
      <w:suppressAutoHyphens w:val="true"/>
      <w:spacing w:before="0" w:after="12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2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5">
    <w:name w:val="Body Text Indent"/>
    <w:basedOn w:val="Style22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Caption"/>
    <w:basedOn w:val="Style22"/>
    <w:qFormat/>
    <w:pPr>
      <w:widowControl/>
      <w:suppressAutoHyphens w:val="true"/>
      <w:jc w:val="center"/>
    </w:pPr>
    <w:rPr>
      <w:b/>
      <w:bCs/>
      <w:sz w:val="24"/>
      <w:szCs w:val="24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yperlink" Target="consultantplus://offline/ref=40B68AA469A2AE150E844E8A43D725AB7073D87B43270D8BC826518738CB6193D426FBD215B4669F5DB108A8R0u6D" TargetMode="External"/><Relationship Id="rId5" Type="http://schemas.openxmlformats.org/officeDocument/2006/relationships/hyperlink" Target="consultantplus://offline/ref=40B68AA469A2AE150E84519F46D725AB7176D07C432A5081C07F5D853FC43E96C137A3DC16AA789945AD0AAA04R9u2D" TargetMode="External"/><Relationship Id="rId6" Type="http://schemas.openxmlformats.org/officeDocument/2006/relationships/hyperlink" Target="consultantplus://offline/ref=40B68AA469A2AE150E844E8A43D725AB7073D87B43270D8BC826518738CB6193D426FBD215B4669F5DB108A8R0u6D" TargetMode="External"/><Relationship Id="rId7" Type="http://schemas.openxmlformats.org/officeDocument/2006/relationships/hyperlink" Target="consultantplus://offline/ref=40B68AA469A2AE150E844E8A43D725AB7070DF7C41270D8BC826518738CB6193D426FBD215B4669F5DB108A8R0u6D" TargetMode="External"/><Relationship Id="rId8" Type="http://schemas.openxmlformats.org/officeDocument/2006/relationships/hyperlink" Target="consultantplus://offline/ref=40B68AA469A2AE150E844E8A43D725AB7071D17845270D8BC826518738CB6193D426FBD215B4669F5DB108A8R0u6D" TargetMode="External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9</Pages>
  <Words>2181</Words>
  <CharactersWithSpaces>18969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2021-02-25T11:25:00Z</dcterms:created>
  <dc:creator>Катя</dc:creator>
  <dc:description/>
  <dc:language>ru-RU</dc:language>
  <cp:lastModifiedBy/>
  <cp:lastPrinted>2021-03-25T15:17:09Z</cp:lastPrinted>
  <dcterms:modified xsi:type="dcterms:W3CDTF">2021-03-25T15:19:34Z</dcterms:modified>
  <cp:revision>6</cp:revision>
  <dc:subject/>
  <dc:title> </dc:title>
</cp:coreProperties>
</file>