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jc w:val="left"/>
        <w:rPr>
          <w:rFonts w:ascii="Liberation Serif" w:hAnsi="Liberation Serif"/>
          <w:sz w:val="28"/>
          <w:szCs w:val="28"/>
        </w:rPr>
      </w:pPr>
      <w:r>
        <w:rPr>
          <w:rStyle w:val="Style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от 2</w:t>
      </w:r>
      <w:r>
        <w:rPr>
          <w:rStyle w:val="Style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2</w:t>
      </w:r>
      <w:r>
        <w:rPr>
          <w:rStyle w:val="Style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.01.2020  N 3</w:t>
      </w:r>
      <w:r>
        <w:rPr>
          <w:rStyle w:val="Style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8</w:t>
      </w:r>
      <w:r>
        <w:rPr>
          <w:rStyle w:val="Style5"/>
          <w:rFonts w:ascii="Liberation Serif" w:hAnsi="Liberation Serif"/>
          <w:b/>
          <w:i/>
          <w:sz w:val="28"/>
          <w:szCs w:val="28"/>
        </w:rPr>
        <w:tab/>
        <w:tab/>
        <w:tab/>
      </w:r>
    </w:p>
    <w:p>
      <w:pPr>
        <w:pStyle w:val="Style13"/>
        <w:jc w:val="center"/>
        <w:rPr>
          <w:rStyle w:val="Style5"/>
          <w:rFonts w:ascii="Liberation Serif" w:hAnsi="Liberation Serif"/>
          <w:b/>
          <w:b/>
          <w:bCs/>
          <w:iCs/>
          <w:sz w:val="28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Об утверждении документации по планировке территории </w:t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>(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проект планировки и проект межевания территории): размещение  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</w:t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>Свердловской области»</w:t>
      </w:r>
    </w:p>
    <w:p>
      <w:pPr>
        <w:pStyle w:val="Style13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  <w:b/>
          <w:bCs/>
          <w:i/>
          <w:iCs/>
          <w:sz w:val="28"/>
        </w:rPr>
      </w:r>
    </w:p>
    <w:p>
      <w:pPr>
        <w:pStyle w:val="Style13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В соответствии со статьями 42, 43,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Правилами землепользования и застройки Камышловского городского округа, утвержденными решением Думы Камышловского городского округа  от 25.05.2017 года  № 116, руководствуясь Уставом Камышловского городского округа, с учетом заключения по результатам общественных обсуждений от 13.01.2020г. №1, 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1. Утвердить </w:t>
      </w:r>
      <w:r>
        <w:rPr>
          <w:rStyle w:val="Style5"/>
          <w:rFonts w:ascii="Liberation Serif" w:hAnsi="Liberation Serif"/>
          <w:bCs/>
          <w:iCs/>
          <w:sz w:val="28"/>
        </w:rPr>
        <w:t>документацию по планировке территории (</w:t>
      </w:r>
      <w:r>
        <w:rPr>
          <w:rStyle w:val="Style5"/>
          <w:rFonts w:ascii="Liberation Serif" w:hAnsi="Liberation Serif"/>
          <w:sz w:val="28"/>
          <w:szCs w:val="28"/>
        </w:rPr>
        <w:t>проект планировки и проект межевания территории): размещение  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 в следующем составе: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ind w:left="0" w:right="0" w:firstLine="709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>Основная часть проекта планировки территории линейного объекта. Том 1 (приложение №1);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>Основная часть проекта межевания территории Том 3</w:t>
      </w:r>
      <w:r>
        <w:rPr>
          <w:rStyle w:val="Style5"/>
          <w:rFonts w:ascii="Liberation Serif" w:hAnsi="Liberation Serif"/>
          <w:sz w:val="28"/>
          <w:szCs w:val="28"/>
        </w:rPr>
        <w:t xml:space="preserve"> (приложение №2)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;</w:t>
      </w:r>
    </w:p>
    <w:p>
      <w:pPr>
        <w:pStyle w:val="Style22"/>
        <w:tabs>
          <w:tab w:val="left" w:pos="426" w:leader="none"/>
          <w:tab w:val="left" w:pos="709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 Опубликовать данное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23LVL2">
    <w:name w:val="WW_CharLFO23LVL2"/>
    <w:qFormat/>
    <w:rPr>
      <w:rFonts w:ascii="Liberation Serif" w:hAnsi="Liberation Serif" w:eastAsia="Times New Roman" w:cs="Times New Roman"/>
    </w:rPr>
  </w:style>
  <w:style w:type="character" w:styleId="WWCharLFO25LVL1">
    <w:name w:val="WW_CharLFO25LVL1"/>
    <w:qFormat/>
    <w:rPr>
      <w:rFonts w:ascii="Times New Roman" w:hAnsi="Times New Roma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1</Pages>
  <Words>248</Words>
  <CharactersWithSpaces>2103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2020-01-17T04:27:00Z</dcterms:created>
  <dc:creator>Архитектура</dc:creator>
  <dc:description/>
  <dc:language>ru-RU</dc:language>
  <cp:lastModifiedBy/>
  <cp:lastPrinted>2020-01-22T13:42:22Z</cp:lastPrinted>
  <dcterms:modified xsi:type="dcterms:W3CDTF">2020-01-22T13:42:30Z</dcterms:modified>
  <cp:revision>3</cp:revision>
  <dc:subject/>
  <dc:title>Градостроительный план земельного участка</dc:title>
</cp:coreProperties>
</file>