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0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jc w:val="left"/>
        <w:rPr>
          <w:rStyle w:val="Style14"/>
          <w:rFonts w:ascii="Liberation Serif;Times New Roman" w:hAnsi="Liberation Serif;Times New Roman" w:eastAsia="Times New Roman" w:cs="Liberation Serif;Times New Roman"/>
          <w:bCs/>
          <w:i w:val="false"/>
          <w:i w:val="false"/>
          <w:iCs w:val="false"/>
          <w:color w:val="000000"/>
          <w:spacing w:val="-1"/>
          <w:lang w:val="ru-RU" w:eastAsia="ru-RU"/>
        </w:rPr>
      </w:pPr>
      <w:r>
        <w:rPr>
          <w:rFonts w:cs="Times New Roman" w:ascii="Liberation Serif" w:hAnsi="Liberation Serif"/>
          <w:b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Fonts w:cs="Times New Roman" w:ascii="Liberation Serif" w:hAnsi="Liberation Serif"/>
          <w:b/>
          <w:bCs/>
          <w:i/>
          <w:iCs/>
          <w:color w:val="000000"/>
          <w:spacing w:val="4"/>
          <w:sz w:val="28"/>
          <w:szCs w:val="28"/>
        </w:rPr>
        <w:t xml:space="preserve">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_DdeLink__12915_2485904036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173 «О проведении мероприятий, направленных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12915_2485904036"/>
      <w:r>
        <w:rPr>
          <w:rFonts w:cs="Times New Roman" w:ascii="Liberation Serif" w:hAnsi="Liberation Serif"/>
          <w:b/>
          <w:bCs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cs="Times New Roman" w:ascii="Liberation Serif" w:hAnsi="Liberation Serif"/>
          <w:sz w:val="28"/>
          <w:szCs w:val="28"/>
        </w:rPr>
        <w:t>1) в подпункте 3 части первой пункта 1 слова «объектов культуры, в том числе музеев и библиотек» заменить словами «организаций сферы культуры, осуществляющих экспозиционно-выставочную деятельность, музеев, библиотек»;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 в подпункте 2 части второй пункта 1 слова «библиотек и музеев, осуществляющих экспозиционно-выставочную деятельность» заменить словами «организаций сферы культуры, осуществляющих экспозиционно-выставочную деятельность, музеев, библиотек»;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3) часть первую пункта 2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«2. Ограничить на территории Камышловского городского округа: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работу ресторанов, кафе, столовых, буфетов, баров, закусочных и иных организаций общественного питания, за исключением: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обслуживания на вынос без потребления на месте;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обслуживания на оборудованных верандах открытого типа;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доставки заказов;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дошкольных образовательных организациях Камышловского городского округа),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пункт 6 дополнить частями второй и третьей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"Действие подпункта 1 части первой настоящего пункта не распространяется на иностранных спортсменов, тренеров и иных специалистов в области физической культуры и спорта,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лицам, осуществляющим санитарно-карантинный контроль, медицинский документ (на русском или английском языках), подтверждающий отрицательный результат лабораторного исследования материала на новую коронавирусную инфекцию (2019-nCoV) методом полимеразной цепной реакции (далее - ПЦР), отобранного не ранее чем за три календарных дня до прибытия на территорию Свердловской области, медицинские документы, подтверждающие выявление антител иммуноглобулина G (IgG) (при наличии).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(2019-nCoV) методом ПЦР, обязать иностранных спортсменов, тренеров и иных специалистов в области физической культуры и спорта, указанных в части второй настоящего пункта, пройти обследование на новую коронавирусную инфекцию (2019-nCoV) методом ПЦР в течение трех календарных дней на территории Свердловской области.".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в пункте 8 слова "по 27 июля 2020 года" заменить словами "по 10 августа 2020 года".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1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3331-A56E-4FCA-8224-F26E8942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LibreOffice/6.3.4.2$Windows_X86_64 LibreOffice_project/60da17e045e08f1793c57c00ba83cdfce946d0aa</Application>
  <Pages>3</Pages>
  <Words>702</Words>
  <Characters>4829</Characters>
  <CharactersWithSpaces>5590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2020-08-04T15:11:55Z</cp:lastPrinted>
  <dcterms:modified xsi:type="dcterms:W3CDTF">2020-08-04T15:12:13Z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