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jc w:val="center"/>
        <w:rPr/>
      </w:pPr>
      <w:r>
        <w:rPr>
          <w:rStyle w:val="Style14"/>
          <w:rFonts w:eastAsia="Times New Roman" w:ascii="Liberation Serif" w:hAnsi="Liberation Serif"/>
          <w:b/>
          <w:bCs/>
          <w:i w:val="false"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775" cy="7620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bidi w:val="0"/>
        <w:spacing w:before="0" w:after="0"/>
        <w:ind w:left="0" w:right="0" w:hanging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</w:rPr>
        <w:t>АДМИНИСТРАЦИЯ КАМЫШЛОВСКОГО ГОРОДСКОГО ОКРУГА</w:t>
      </w:r>
    </w:p>
    <w:p>
      <w:pPr>
        <w:pStyle w:val="Style24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</w:rPr>
        <w:t>П О С Т А Н О В Л Е Н И Е</w:t>
      </w:r>
    </w:p>
    <w:p>
      <w:pPr>
        <w:pStyle w:val="Style24"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jc w:val="both"/>
        <w:rPr/>
      </w:pP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от 09.03.2021 N 15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8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ab/>
      </w:r>
    </w:p>
    <w:p>
      <w:pPr>
        <w:pStyle w:val="ConsPlusTitle"/>
        <w:jc w:val="center"/>
        <w:rPr>
          <w:rStyle w:val="Style14"/>
          <w:rFonts w:ascii="Liberation Serif;Times New Roman" w:hAnsi="Liberation Serif;Times New Roman" w:eastAsia="Times New Roman" w:cs="Liberation Serif;Times New Roman"/>
          <w:b/>
          <w:b/>
          <w:bCs/>
          <w:i w:val="false"/>
          <w:i w:val="false"/>
          <w:iCs w:val="false"/>
          <w:color w:val="000000"/>
          <w:kern w:val="2"/>
          <w:sz w:val="28"/>
          <w:szCs w:val="28"/>
          <w:lang w:val="ru-RU" w:eastAsia="ru-RU"/>
        </w:rPr>
      </w:pPr>
      <w:r>
        <w:rPr/>
      </w:r>
    </w:p>
    <w:p>
      <w:pPr>
        <w:pStyle w:val="ConsPlusTitle"/>
        <w:jc w:val="center"/>
        <w:rPr/>
      </w:pPr>
      <w:bookmarkStart w:id="0" w:name="__DdeLink__5689_879274737"/>
      <w:bookmarkEnd w:id="0"/>
      <w:r>
        <w:rPr>
          <w:rFonts w:ascii="Liberation Serif" w:hAnsi="Liberation Serif"/>
          <w:sz w:val="28"/>
          <w:szCs w:val="28"/>
        </w:rPr>
        <w:t xml:space="preserve">О Порядках принятия решений о подготовке и реализации бюджетных инвестиций в объекты муниципальной собственности </w:t>
      </w:r>
    </w:p>
    <w:p>
      <w:pPr>
        <w:pStyle w:val="ConsPlusTitle"/>
        <w:jc w:val="center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и осуществления указанных бюджетных инвестиций за счет средств местного бюджета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bookmarkStart w:id="1" w:name="__DdeLink__5689_879274737"/>
      <w:bookmarkStart w:id="2" w:name="__DdeLink__5689_879274737"/>
      <w:bookmarkEnd w:id="2"/>
    </w:p>
    <w:p>
      <w:pPr>
        <w:pStyle w:val="ConsPlus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В соответствии с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hyperlink r:id="rId3">
        <w:r>
          <w:rPr>
            <w:rStyle w:val="Style"/>
            <w:rFonts w:ascii="Liberation Serif" w:hAnsi="Liberation Serif"/>
            <w:color w:val="000000"/>
            <w:sz w:val="28"/>
            <w:szCs w:val="28"/>
          </w:rPr>
          <w:t>пунктом 2 статьи 79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Б</w:t>
      </w:r>
      <w:r>
        <w:rPr>
          <w:rFonts w:ascii="Liberation Serif" w:hAnsi="Liberation Serif"/>
          <w:sz w:val="28"/>
          <w:szCs w:val="28"/>
        </w:rPr>
        <w:t xml:space="preserve">юджетного кодекса Российской Федерации, администрация Камышловского городского округа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1. Утвердить:</w:t>
      </w:r>
    </w:p>
    <w:p>
      <w:pPr>
        <w:pStyle w:val="ConsPlusTitle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b w:val="false"/>
          <w:sz w:val="28"/>
          <w:szCs w:val="28"/>
        </w:rPr>
        <w:t>1) Порядок принятия решений о подготовке и реализации бюджетных инвестиций в объекты муниципальной собственности Камышловского городского округа (прилагается);</w:t>
      </w:r>
    </w:p>
    <w:p>
      <w:pPr>
        <w:pStyle w:val="ConsPlusTitle"/>
        <w:spacing w:lineRule="auto" w:line="240"/>
        <w:ind w:firstLine="709"/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>2) Порядок осуществления бюджетных инвестиций в объекты муниципальной собственности Камышловского городского округа за счет средств местного бюджета (прилагается).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2. Признать утратившим силу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п</w:t>
      </w:r>
      <w:hyperlink r:id="rId4">
        <w:r>
          <w:rPr>
            <w:rStyle w:val="Style"/>
            <w:rFonts w:ascii="Liberation Serif" w:hAnsi="Liberation Serif"/>
            <w:color w:val="000000"/>
            <w:sz w:val="28"/>
            <w:szCs w:val="28"/>
          </w:rPr>
          <w:t>остановление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главы Камышловского городского округа от 10.08.2011 N 1311 "</w:t>
      </w:r>
      <w:r>
        <w:rPr>
          <w:rFonts w:cs="Liberation Serif" w:ascii="Liberation Serif" w:hAnsi="Liberation Serif"/>
          <w:sz w:val="28"/>
          <w:szCs w:val="28"/>
          <w:lang w:eastAsia="ru-RU"/>
        </w:rPr>
        <w:t xml:space="preserve"> Об утверждении Положения о порядке предоставления бюджетных инвестиций в объекты капитального строительства, реконструкции, техническое перевооружение, приобретение основных средств муниципальной собственности Камышловского городского округа в форме капитальных вложений в основные средства муниципальных бюджетных учреждений и муниципальных автономных учреждений</w:t>
      </w:r>
      <w:r>
        <w:rPr>
          <w:rFonts w:ascii="Liberation Serif" w:hAnsi="Liberation Serif"/>
          <w:sz w:val="28"/>
          <w:szCs w:val="28"/>
        </w:rPr>
        <w:t>".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3. Настоящее постановление разместить </w:t>
      </w:r>
      <w:r>
        <w:rPr>
          <w:rFonts w:ascii="Liberation Serif" w:hAnsi="Liberation Serif"/>
          <w:bCs/>
          <w:sz w:val="28"/>
          <w:szCs w:val="28"/>
        </w:rPr>
        <w:t>на официальном</w:t>
        <w:br/>
        <w:t>сайте Камышловского городского округа в информационно-телекоммуникационной сети «Интернет».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ConsPlusTitle"/>
        <w:widowControl/>
        <w:spacing w:lineRule="auto" w:line="240"/>
        <w:ind w:firstLine="709"/>
        <w:jc w:val="both"/>
        <w:rPr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>
      <w:pPr>
        <w:pStyle w:val="ConsPlusNormal"/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Calibri"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sz w:val="28"/>
          <w:szCs w:val="28"/>
          <w:lang w:eastAsia="ru-RU"/>
        </w:rPr>
      </w:r>
      <w:r>
        <w:br w:type="page"/>
      </w:r>
    </w:p>
    <w:p>
      <w:pPr>
        <w:pStyle w:val="ConsPlusNormal"/>
        <w:numPr>
          <w:ilvl w:val="0"/>
          <w:numId w:val="0"/>
        </w:numPr>
        <w:ind w:left="5102" w:hanging="0"/>
        <w:jc w:val="left"/>
        <w:outlineLvl w:val="0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У</w:t>
      </w:r>
      <w:r>
        <w:rPr>
          <w:rFonts w:ascii="Liberation Serif" w:hAnsi="Liberation Serif"/>
          <w:b/>
          <w:bCs/>
          <w:sz w:val="28"/>
          <w:szCs w:val="28"/>
        </w:rPr>
        <w:t>ТВЕРЖДЕН</w:t>
      </w:r>
    </w:p>
    <w:p>
      <w:pPr>
        <w:pStyle w:val="ConsPlusNormal"/>
        <w:ind w:left="5102" w:hanging="0"/>
        <w:jc w:val="left"/>
        <w:rPr/>
      </w:pP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дминистрации</w:t>
      </w:r>
    </w:p>
    <w:p>
      <w:pPr>
        <w:pStyle w:val="ConsPlusNormal"/>
        <w:ind w:left="5102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ConsPlusNormal"/>
        <w:ind w:left="5102" w:hanging="0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eastAsia="Times New Roman" w:cs="Calibri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09.03.2021</w:t>
      </w:r>
      <w:r>
        <w:rPr>
          <w:rFonts w:ascii="Liberation Serif" w:hAnsi="Liberation Serif"/>
          <w:sz w:val="28"/>
          <w:szCs w:val="28"/>
        </w:rPr>
        <w:t xml:space="preserve"> N </w:t>
      </w:r>
      <w:r>
        <w:rPr>
          <w:rFonts w:ascii="Liberation Serif" w:hAnsi="Liberation Serif"/>
          <w:sz w:val="28"/>
          <w:szCs w:val="28"/>
        </w:rPr>
        <w:t>158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3" w:name="P37"/>
      <w:bookmarkEnd w:id="3"/>
      <w:r>
        <w:rPr>
          <w:rFonts w:ascii="Liberation Serif" w:hAnsi="Liberation Serif"/>
          <w:sz w:val="28"/>
          <w:szCs w:val="28"/>
        </w:rPr>
        <w:t xml:space="preserve">Порядок </w:t>
      </w:r>
    </w:p>
    <w:p>
      <w:pPr>
        <w:pStyle w:val="ConsPlusTitle"/>
        <w:jc w:val="center"/>
        <w:rPr/>
      </w:pPr>
      <w:r>
        <w:rPr>
          <w:rFonts w:ascii="Liberation Serif" w:hAnsi="Liberation Serif"/>
          <w:sz w:val="28"/>
          <w:szCs w:val="28"/>
        </w:rPr>
        <w:t xml:space="preserve">принятия решений о подготовке и реализации </w:t>
      </w:r>
    </w:p>
    <w:p>
      <w:pPr>
        <w:pStyle w:val="ConsPlusTitle"/>
        <w:jc w:val="center"/>
        <w:rPr/>
      </w:pPr>
      <w:r>
        <w:rPr>
          <w:rFonts w:ascii="Liberation Serif" w:hAnsi="Liberation Serif"/>
          <w:sz w:val="28"/>
          <w:szCs w:val="28"/>
        </w:rPr>
        <w:t xml:space="preserve">бюджетных инвестиций в объекты муниципальной собственности </w:t>
      </w:r>
    </w:p>
    <w:p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Настоящий Порядок устанавливает единые требования к принятию решений о подготовке и реализации бюджетных инвестиций в объекты капитального строительства муниципальной собственности Камышловского городского округа и (или) на приобретение объектов недвижимого имущества в муниципальную собственность Камышловского городского округа (далее по тексту, соответственно, - объекты капитального строительства, объекты недвижимого имущества), в форме капитальных вложений в основные средства, находящиеся (которые будут находиться) в муниципальной собственности Камышловского городского округа (далее по тексту - решение).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Для целей настоящего Порядка под бюджетными инвестициями в объекты капитального строительства и (или) объекты недвижимого имущества понимаются предоставляемые муниципальным учреждениям, муниципальным унитарным предприятиям (далее по тексту - организации) из местного бюджета бюджетные инвестиции в строительство (реконструкцию, в том числе с элементами реставрации, техническое перевооружение) объектов капитального строительства и (или) на приобретение объекта недвижимого имущества, включая расходы на: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приобретение земельного участка под строительство объекта капитального строительства у частного собственника (при отсутствии возможности размещения соответствующего объекта на земельном участке, находящемся в муниципальной собственности, или на земельном участке, государственная собственность на который не разграничена);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проведение инженерных изысканий в целях последующей подготовки проектной документации на строительство (реконструкцию, в том числе с элементами реставрации, техническое перевооружение) объекта капитального строительства (далее по тексту - проектная документация);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подготовку проектной документации;</w:t>
      </w:r>
    </w:p>
    <w:p>
      <w:pPr>
        <w:pStyle w:val="ConsPlusNormal"/>
        <w:spacing w:before="220" w:after="16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- проведение государственной экспертизы проектной документации и результатов инженерных изысканий, выполняемых для подготовки такой документации (если проведение государственной экспертизы обязательно в соответствии со </w:t>
      </w:r>
      <w:hyperlink r:id="rId5">
        <w:r>
          <w:rPr>
            <w:rStyle w:val="Style"/>
            <w:rFonts w:ascii="Liberation Serif" w:hAnsi="Liberation Serif"/>
            <w:color w:val="000000"/>
            <w:sz w:val="28"/>
            <w:szCs w:val="28"/>
          </w:rPr>
          <w:t>статьей 49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Градостроительного кодекса Российской Федерации);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проведение проверки достоверности определения сметной стоимости объекта капитального строительства, в строительство (реконструкцию, в том числе с элементами реставрации, техническое перевооружение) которого предоставляются бюджетные инвестиции;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выполнение работ по договору строительного подряда;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оплату за приобретаемое недвижимое имущество;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проведение аудита проектной документации в случаях, установленных законодательством Российской Федерации.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Созданные или приобретенные в результате осуществления бюджетных инвестиций объекты капитального строительства и (или) объекты недвижимого имущества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или хозяйственного ведения у этих организаций, а также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 Камышловского городского округа.</w:t>
      </w:r>
    </w:p>
    <w:p>
      <w:pPr>
        <w:pStyle w:val="ConsPlusNormal"/>
        <w:spacing w:before="220" w:after="16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4. Не допускается при исполнении местного бюджета предоставление бюджетных инвестиций в объекты капитального строительства и (или) объекты недвижимого имущества, по которым принято решение о предоставлении субсидий на осуществление капитальных вложений, за исключением случая, указанного в </w:t>
      </w:r>
      <w:hyperlink w:anchor="P62">
        <w:r>
          <w:rPr>
            <w:rStyle w:val="Style"/>
            <w:rFonts w:ascii="Liberation Serif" w:hAnsi="Liberation Serif"/>
            <w:color w:val="000000"/>
            <w:sz w:val="28"/>
            <w:szCs w:val="28"/>
          </w:rPr>
          <w:t>части второй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на</w:t>
      </w:r>
      <w:r>
        <w:rPr>
          <w:rFonts w:ascii="Liberation Serif" w:hAnsi="Liberation Serif"/>
          <w:sz w:val="28"/>
          <w:szCs w:val="28"/>
        </w:rPr>
        <w:t>стоящего пункта.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4" w:name="P62"/>
      <w:bookmarkEnd w:id="4"/>
      <w:r>
        <w:rPr>
          <w:rFonts w:ascii="Liberation Serif" w:hAnsi="Liberation Serif"/>
          <w:sz w:val="28"/>
          <w:szCs w:val="28"/>
        </w:rPr>
        <w:t>При исполнении местного бюджета допускается предоставление бюджетных инвестиций в объекты капитального строительства и (или) объекты недвижимого имущества, по которым принято решение о предоставлении субсидий на осуществление капитальных вложений, в случае изменения в установленном порядке типа муниципального бюджетного или муниципального автономного учреждения или организационно-правовой формы муниципального унитарного предприятия, являющихся получателями субсидий на осуществление капитальных вложений, на муниципальное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муниципальным автономным учреждением, муниципальным унитарным предприятием договоры в части замены стороны договора - муниципального бюджетного или муниципального автономного учреждения, муниципального унитарного предприятия на муниципальное казенное учреждение и вида договора - гражданско-правового договора муниципального бюджетного или муниципального автономного учреждения, муниципального унитарного предприятия на муниципальный контракт.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Принятие решения о предоставлении бюджетных инвестиций в объекты капитального строительства и (или) объекты недвижимого имущества, по которым было принято решение о предоставлении субсидий на осуществление капитальных вложений, осуществляется после признания утратившим силу такого решения, либо путем внесения в него изменений, связанных с изменением формы предоставления бюджетных средств (с субсидий на осуществление капитальных вложений на бюджетные инвестиции).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Решение принимается в форме постановления администрации Камышловского городского округа (далее по тексту - Постановление).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проект Постановления может быть включено несколько объектов капитального строительства и (или) объектов недвижимого имущества.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Проект Постановления и пояснительная записка к нему подготавливаются органом местного самоуправления или отраслевым органом администрации Камышловского городского округа, к сфере деятельности которого будет относиться использование (функционирование) создаваемого объекта капитального строительства и (или) приобретаемого объекта недвижимого имущества (далее – орган местного самоуправления).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Проект Постановления должен содержать следующую информацию в отношении каждого объекта капитального строительства и (или) объекта недвижимого имущества: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(предполагаемое наименование) объекта капитального строительства согласно проектной документации и (или) наименование объекта недвижимого имущества;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главного распорядителя средств местного бюджета, ответственного за реализацию муниципальной программы Камышловского городского округа (далее - муниципальная программа), в которую будет включено мероприятие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приобретению объекта недвижимого имущества после принятия решения в соответствии с настоящим Порядком;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организации, которой предоставляются бюджетные инвестиции;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предполагаемый срок ввода в эксплуатацию объекта капитального строительства и (или) приобретения объекта недвижимости;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(максимальная) стоимость объекта капитального строительства и (или) стоимость приобретения объекта недвижимого имущества с разбивкой по годам (в ценах соответствующих лет), с выделением объема бюджетных инвестиций на подготовку проектной документации и проведение инженерных изысканий, выполнение работ по договору строительного подряда;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общий (предельный) объем бюджетных инвестиций с разбивкой по годам (в ценах соответствующих лет) с выделением объема бюджетных инвестиций на подготовку проектной документации и проведение инженерных изысканий, выполнение работ по договору строительного подряда.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5" w:name="P81"/>
      <w:bookmarkEnd w:id="5"/>
      <w:r>
        <w:rPr>
          <w:rFonts w:ascii="Liberation Serif" w:hAnsi="Liberation Serif"/>
          <w:sz w:val="28"/>
          <w:szCs w:val="28"/>
        </w:rPr>
        <w:t>8. Проект Постановления согласовывается с заместителем главы администрации городского округа, курирующим соответствующую сферу деятельности, заместителем главы администрации городского округа, курирующим сферу строительства, ответственным исполнителем муниципальной программы, в которую будет включен объект капитального строительства и (или) приобретаемый объект недвижимого имущества после принятия решения, в соответствии с настоящим Порядком (в случае если орган местного самоуправления не является одновременно ее ответственным исполнителем) и вместе с пояснительной запиской в срок, устанавливаемый постановлением администрации Камышловского городского округа, регламентирующим порядок и сроки составления проекта местного бюджета на очередной финансовый год и плановый период, либо при подготовке проекта решения Думы Камышловского городского округа о внесении изменений в решение о местном бюджете направляется в финансовое управление администрации Камышловского городского округа, отдел экономики администрации Камышловского городского округа, Контрольный орган Камышловского городского округа для подготовки заключений.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Пояснительная записка к проекту Постановления должна содержать обоснование потребности муниципального образования в объекте капитального строительства, в строительство (реконструкцию, в том числе с элементами реставрации, техническое перевооружение) которого необходимо предоставить бюджетные инвестиции и (или) объекте недвижимого имущества, на приобретение которого необходимо предоставить бюджетные инвестиции в целях решения вопросов местного значения, включая обоснование достигаемого положительного социального эффекта (улучшение качества жизни населения, повышения качества оказываемых муниципальных услуг для населения и их доступности, создание новых рабочих мест на этапе строительства и (или) при эксплуатации объекта капитального строительства (объекта недвижимого имущества), иной эффект), выраженного в качественных и (или) количественных показателях.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Пояснительная записка к проекту Постановления также должна содержать расчет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(приобретения).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Муниципальные унитарные предприятия в дополнение к пояснительной записке к проекту Постановления представляют расчет потенциальной бюджетной эффективности на основе сопоставления объема субсидии и поступлений в местный бюджет в результате строительства (реконструкции, в том числе с элементами реставрации, технического перевооружения) объекта капитального строительства и (или) приобретения объекта недвижимого имущества.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6" w:name="P86"/>
      <w:bookmarkEnd w:id="6"/>
      <w:r>
        <w:rPr>
          <w:rFonts w:ascii="Liberation Serif" w:hAnsi="Liberation Serif"/>
          <w:sz w:val="28"/>
          <w:szCs w:val="28"/>
        </w:rPr>
        <w:t>9. В случае, если создание или приобретение объекта капитального строительства или объекта недвижимого имущества признается инвестиционным проектом, в отношении которого проводится проверка на предмет эффективности направляемых на капитальные вложения средств местного бюджета, администрация Камышловского городского округа дает заключение об эффективности инвестиционного проекта, в соответствии порядком проведения инвестиционных проектов на предмет эффективности использования средств местного бюджета, направляемых на капитальные вложения, утвержденным администрацией Камышловского городского округа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Финансовое управление Камышловского городского округа в срок, не превышающий пяти рабочих дней со дня получения проекта Постановления и пояснительной записки к нему, дает заключение о финансовых последствиях принятия решения.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Отдел экономики администрации Камышловского городского округа в срок, не превышающий пяти рабочих дней со дня получения проекта Постановления и пояснительной записки к нему, дает заключение на предмет соответствия основным стратегическим документам, муниципальным программам.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Контрольный орган Камышловского городского округа в срок, не превышающий пяти рабочих дней со дня получения проекта Постановления и пояснительной записки к нему, дает заключение по результатам проведения его финансово-экономической экспертизы.</w:t>
      </w:r>
    </w:p>
    <w:p>
      <w:pPr>
        <w:pStyle w:val="Normal"/>
        <w:spacing w:before="22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При наличии замечаний к</w:t>
      </w:r>
      <w:r>
        <w:rPr>
          <w:rFonts w:cs="Liberation Serif" w:ascii="Liberation Serif" w:hAnsi="Liberation Serif"/>
          <w:sz w:val="28"/>
          <w:szCs w:val="28"/>
        </w:rPr>
        <w:t xml:space="preserve"> проекту решения, он подлежит доработке в соответствии с замечаниями, повторному согласованию и принятию в установленном порядке.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Проект Постановления, вместе с заключениями финансового управления администрации Камышловского городского округа, отдела экономики администрации Камышловского городского округа, Контрольного органа Камышловского городского округа, а также с заключением об эффективности инвестиционного проекта, предусмотренном пунктом 9 настоящего Порядка, в случае, если создание или приобретение объекта капитального строительства или объекта недвижимого имущества признается инвестиционным проектом, в отношении которого проводится проверка на предмет эффективности направляемых на капитальные вложения средств местного бюджета, представляется органом местного самоуправления главе городского округа в установленном порядке для принятия решения.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 Отдел экономики администрации Камышловского городского округа ведет реестр принятых решений.</w:t>
      </w:r>
    </w:p>
    <w:p>
      <w:pPr>
        <w:pStyle w:val="ConsPlusNormal"/>
        <w:spacing w:before="220" w:after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16. Постановление является основанием для включения в разрабатываемую (действующую) муниципальную программу мероприятия по строительству (реконструкции, в том числе с элементами реставрации, техническому перевооружению) объекта (объектов) капитального строительства и (или) приобретению объекта (объектов) недвижимого имущества.</w:t>
      </w:r>
    </w:p>
    <w:p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Ответственные исполнители муниципальной программы заполняют Перечень Объектов капитального строительства для бюджетных инвестиций, в соответствии с Порядком формирования и реализации муниципальных программ Камышловского городского округа, утвержденного постановлением администрации Камышловского городского округа.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Calibri"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sz w:val="28"/>
          <w:szCs w:val="28"/>
          <w:lang w:eastAsia="ru-RU"/>
        </w:rPr>
      </w:r>
      <w:r>
        <w:br w:type="page"/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329" w:right="0" w:hanging="0"/>
        <w:jc w:val="left"/>
        <w:outlineLvl w:val="0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У</w:t>
      </w:r>
      <w:r>
        <w:rPr>
          <w:rFonts w:eastAsia="Times New Roman" w:cs="Calibri" w:ascii="Liberation Serif" w:hAnsi="Liberation Serif"/>
          <w:b/>
          <w:bCs/>
          <w:color w:val="auto"/>
          <w:kern w:val="0"/>
          <w:sz w:val="28"/>
          <w:szCs w:val="28"/>
          <w:lang w:val="ru-RU" w:eastAsia="ru-RU" w:bidi="ar-SA"/>
        </w:rPr>
        <w:t>ТВЕРЖДЕН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329" w:right="0" w:hanging="0"/>
        <w:jc w:val="left"/>
        <w:rPr/>
      </w:pP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остановлением администрации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32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329" w:right="0" w:hanging="0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eastAsia="Times New Roman" w:cs="Calibri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09.03.2021</w:t>
      </w:r>
      <w:r>
        <w:rPr>
          <w:rFonts w:ascii="Liberation Serif" w:hAnsi="Liberation Serif"/>
          <w:sz w:val="28"/>
          <w:szCs w:val="28"/>
        </w:rPr>
        <w:t xml:space="preserve"> N</w:t>
      </w:r>
      <w:r>
        <w:rPr>
          <w:rFonts w:eastAsia="Times New Roman" w:cs="Calibri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158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7" w:name="P136"/>
      <w:bookmarkEnd w:id="7"/>
      <w:r>
        <w:rPr>
          <w:rFonts w:ascii="Liberation Serif" w:hAnsi="Liberation Serif"/>
          <w:sz w:val="28"/>
          <w:szCs w:val="28"/>
        </w:rPr>
        <w:t>Порядок</w:t>
      </w:r>
    </w:p>
    <w:p>
      <w:pPr>
        <w:pStyle w:val="ConsPlusTitle"/>
        <w:jc w:val="center"/>
        <w:rPr/>
      </w:pPr>
      <w:r>
        <w:rPr>
          <w:rFonts w:ascii="Liberation Serif" w:hAnsi="Liberation Serif"/>
          <w:sz w:val="28"/>
          <w:szCs w:val="28"/>
        </w:rPr>
        <w:t xml:space="preserve">осуществления бюджетных инвестиций в объекты </w:t>
      </w:r>
    </w:p>
    <w:p>
      <w:pPr>
        <w:pStyle w:val="ConsPlusTitle"/>
        <w:jc w:val="center"/>
        <w:rPr/>
      </w:pPr>
      <w:r>
        <w:rPr>
          <w:rFonts w:ascii="Liberation Serif" w:hAnsi="Liberation Serif"/>
          <w:sz w:val="28"/>
          <w:szCs w:val="28"/>
        </w:rPr>
        <w:t xml:space="preserve">муниципальной собственности Камышловского городского округа </w:t>
      </w:r>
    </w:p>
    <w:p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 счет средств местного бюджета</w:t>
      </w:r>
    </w:p>
    <w:p>
      <w:pPr>
        <w:pStyle w:val="Normal"/>
        <w:spacing w:before="0" w:after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Камышловского городского округа или в приобретение объектов недвижимого имущества в муниципальную собственность Камышловского городского округа за счет средств местного бюджета (далее по тексту, соответственно, - объекты капитального строительства, объекты недвижимого имущества, бюджетные инвестиции), в том числе условия передачи органами местного самоуправления Камышловского городского округа муниципальным бюджетным учреждениям или муниципальным автономным учреждениям Камышловского городского округа, муниципальным унитарным предприятиям Камышловского городского округа (далее - организации) полномочий муниципального заказчика по заключению и исполнению от имени Камышловского городского округа муниципальных контрактов от лица указанных органов местного самоуправления в соответствии с настоящим Порядком, а также правила заключения соглашений о передаче указанных полномочий.</w:t>
      </w:r>
    </w:p>
    <w:p>
      <w:pPr>
        <w:pStyle w:val="ConsPlusNormal"/>
        <w:spacing w:before="220" w:after="16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Бюджетные ассигнования на осуществление бюджетных инвестиций предусматриваются в местном бюджете на основании муниципальных программ Камышловского городского округа.</w:t>
      </w:r>
    </w:p>
    <w:p>
      <w:pPr>
        <w:pStyle w:val="ConsPlusNormal"/>
        <w:spacing w:before="220" w:after="16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приобретения объектов недвижимого имущества учитывается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>
      <w:pPr>
        <w:pStyle w:val="ConsPlusNormal"/>
        <w:spacing w:before="220" w:after="16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Не допускается осуществление бюджетных инвестиций в объекты капитального строительства и объекты недвижимого имущества, которые не относятся (не могут быть отнесены) к муниципальной собственности Камышловского городского округа.</w:t>
      </w:r>
    </w:p>
    <w:p>
      <w:pPr>
        <w:pStyle w:val="ConsPlusNormal"/>
        <w:spacing w:before="220" w:after="16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приобретения объектов недвижимого имущества:</w:t>
      </w:r>
    </w:p>
    <w:p>
      <w:pPr>
        <w:pStyle w:val="ConsPlusNormal"/>
        <w:spacing w:before="220" w:after="16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муниципальными заказчиками, являющимися получателями средств местного бюджета;</w:t>
      </w:r>
    </w:p>
    <w:p>
      <w:pPr>
        <w:pStyle w:val="ConsPlusNormal"/>
        <w:spacing w:before="220" w:after="16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8" w:name="P154"/>
      <w:bookmarkEnd w:id="8"/>
      <w:r>
        <w:rPr>
          <w:rFonts w:ascii="Liberation Serif" w:hAnsi="Liberation Serif"/>
          <w:sz w:val="28"/>
          <w:szCs w:val="28"/>
        </w:rPr>
        <w:t>2)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 (далее по тексту – органы местного самоуправления), передали в соответствии с настоящим Порядком свои полномочия муниципального заказчика по заключению и исполнению от имени Камышловского городского округа от лица указанных органов муниципальных контрактов.</w:t>
      </w:r>
    </w:p>
    <w:p>
      <w:pPr>
        <w:pStyle w:val="ConsPlusNormal"/>
        <w:spacing w:before="220" w:after="160"/>
        <w:ind w:firstLine="54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6. В целях осуществления бюджетных инвестиций в соответствии с </w:t>
      </w:r>
      <w:hyperlink w:anchor="P154">
        <w:r>
          <w:rPr>
            <w:rStyle w:val="Style"/>
            <w:rFonts w:ascii="Liberation Serif" w:hAnsi="Liberation Serif"/>
            <w:color w:val="000000"/>
            <w:sz w:val="28"/>
            <w:szCs w:val="28"/>
          </w:rPr>
          <w:t>подпунктом 2 пункта 5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Камышловского городского округа муниципальных контрактов от лица указанных органов (за исключением полномочий, связанных с введением в установленном порядке в эксплуатацию объекта капитального строительства) (далее по тексту - соглашение о передаче полномочий).</w:t>
      </w:r>
    </w:p>
    <w:p>
      <w:pPr>
        <w:pStyle w:val="ConsPlusNormal"/>
        <w:spacing w:before="220" w:after="16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Соглашение о передаче полномочий может быть заключено в отношении нескольких объектов капитального строительства и (или) объектов недвижимого имущества и должно содержать:</w:t>
      </w:r>
    </w:p>
    <w:p>
      <w:pPr>
        <w:pStyle w:val="ConsPlusNormal"/>
        <w:spacing w:before="220" w:after="160"/>
        <w:ind w:firstLine="54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1)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сметной или предполагаемой (максимальной) стоимости объекта капитального строительства муниципальной собственности Камышловского городского округа либо стоимости приобретения объекта недвижимого имущества в муниципальную собственность Камышловского городского округа (в ценах соответствующих лет), соответствующих решению администрации Камышловского городского округа, принятому в соответствии с </w:t>
      </w:r>
      <w:hyperlink w:anchor="P37">
        <w:r>
          <w:rPr>
            <w:rStyle w:val="Style"/>
            <w:rFonts w:ascii="Liberation Serif" w:hAnsi="Liberation Serif"/>
            <w:color w:val="000000"/>
            <w:sz w:val="28"/>
            <w:szCs w:val="28"/>
          </w:rPr>
          <w:t>Порядком</w:t>
        </w:r>
      </w:hyperlink>
      <w:r>
        <w:rPr>
          <w:rFonts w:ascii="Liberation Serif" w:hAnsi="Liberation Serif"/>
          <w:sz w:val="28"/>
          <w:szCs w:val="28"/>
        </w:rPr>
        <w:t xml:space="preserve"> принятия решений о подготовке и реализации бюджетных инвестиций в объекты муниципальной собственности Камышловского городского округа, утвержденным постановлением администрации Камышловского городского округа, а также общего объема капитальных вложений в объект капитального строительства или объект недвижимого имущества (в ценах соответствующих лет), в том числе объема бюджетных ассигнований, предусмотренного органу местного самоуправления как получателю средств местного бюджета;</w:t>
      </w:r>
    </w:p>
    <w:p>
      <w:pPr>
        <w:pStyle w:val="ConsPlusNormal"/>
        <w:spacing w:before="220" w:after="16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положения, устанавливающие права и обязанности организации по заключению и исполнению от имени Камышловского городского округа от лица органа местного самоуправления муниципальных контрактов;</w:t>
      </w:r>
    </w:p>
    <w:p>
      <w:pPr>
        <w:pStyle w:val="ConsPlusNormal"/>
        <w:spacing w:before="220" w:after="16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ответственность организации за неисполнение или ненадлежащее исполнение переданных ей полномочий;</w:t>
      </w:r>
    </w:p>
    <w:p>
      <w:pPr>
        <w:pStyle w:val="ConsPlusNormal"/>
        <w:spacing w:before="220" w:after="16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>
      <w:pPr>
        <w:pStyle w:val="ConsPlusNormal"/>
        <w:spacing w:before="220" w:after="16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самоуправления, как получателя средств местного бюджета.</w:t>
      </w:r>
    </w:p>
    <w:p>
      <w:pPr>
        <w:pStyle w:val="ConsPlusNormal"/>
        <w:spacing w:before="220" w:after="16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Операции с бюджетными инвестициями отражаются на открытых в финансовом управлении администрации Камышловского городского округа в установленном им порядке лицевых счетах:</w:t>
      </w:r>
    </w:p>
    <w:p>
      <w:pPr>
        <w:pStyle w:val="ConsPlusNormal"/>
        <w:spacing w:before="220" w:after="16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получателя бюджетных средств - в случае заключения муниципальных контрактов муниципальным заказчиком;</w:t>
      </w:r>
    </w:p>
    <w:p>
      <w:pPr>
        <w:pStyle w:val="ConsPlusNormal"/>
        <w:spacing w:before="220" w:after="16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9" w:name="P169"/>
      <w:bookmarkEnd w:id="9"/>
      <w:r>
        <w:rPr>
          <w:rFonts w:ascii="Liberation Serif" w:hAnsi="Liberation Serif"/>
          <w:sz w:val="28"/>
          <w:szCs w:val="28"/>
        </w:rPr>
        <w:t>2) для учета операций по переданным полномочиям получателя бюджетных средств - в случае заключения от имени Камышловского городского округа муниципальных контрактов организациями от лица органов местного самоуправления.</w:t>
      </w:r>
    </w:p>
    <w:p>
      <w:pPr>
        <w:pStyle w:val="ConsPlusNormal"/>
        <w:spacing w:before="220" w:after="160"/>
        <w:ind w:firstLine="54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9. В целях открытия организацией в финансовом управлении администрации Камышловского городского округа лицевого счета, указанного в </w:t>
      </w:r>
      <w:hyperlink w:anchor="P169">
        <w:r>
          <w:rPr>
            <w:rStyle w:val="Style"/>
            <w:rFonts w:ascii="Liberation Serif" w:hAnsi="Liberation Serif"/>
            <w:color w:val="000000"/>
            <w:sz w:val="28"/>
            <w:szCs w:val="28"/>
          </w:rPr>
          <w:t>подпункте 2 пункта 8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настоящего Порядка,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финансовое управление администрации Камышловского городского округа документы, необходимые для открытия лицевого счета по переданным полномочиям получателя бюджетных средств, в порядке, установленном финансовым управлением администрации Камышловского городского округа. Основанием для открытия лицевого счета, указанного в </w:t>
      </w:r>
      <w:hyperlink w:anchor="P169">
        <w:r>
          <w:rPr>
            <w:rStyle w:val="Style"/>
            <w:rFonts w:ascii="Liberation Serif" w:hAnsi="Liberation Serif"/>
            <w:color w:val="000000"/>
            <w:sz w:val="28"/>
            <w:szCs w:val="28"/>
          </w:rPr>
          <w:t>подпункте 2 пункта 8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наст</w:t>
      </w:r>
      <w:r>
        <w:rPr>
          <w:rFonts w:ascii="Liberation Serif" w:hAnsi="Liberation Serif"/>
          <w:sz w:val="28"/>
          <w:szCs w:val="28"/>
        </w:rPr>
        <w:t>оящего Порядка, является копия соглашения о передаче полномочий.</w:t>
      </w:r>
    </w:p>
    <w:p>
      <w:pPr>
        <w:pStyle w:val="ConsPlusNormal"/>
        <w:spacing w:before="220" w:after="16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Сметная стоимость объекта капитального строительства, в строительство (реконструкцию, в том числе с элементами реставрации, техническое перевооружение) которого предоставляются бюджетные инвестиции, подлежит проверке на предмет достоверности ее определения организацией, уполномоченной на проведение такой проверки в соответствии с действующим законодательством.</w:t>
      </w:r>
    </w:p>
    <w:p>
      <w:pPr>
        <w:pStyle w:val="ConsPlusNormal"/>
        <w:spacing w:before="220" w:after="16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Положительное заключение государственной экспертизы проектной документации, содержащее оценку сметной стоимости объекта капитального строительства, в строительство (реконструкцию, в том числе с элементами реставрации, техническое перевооружение) которого предоставляются бюджетные инвестиции, рассматривается как положительное заключение о достоверности определения сметной стоимости данного объекта.</w:t>
      </w:r>
    </w:p>
    <w:p>
      <w:pPr>
        <w:pStyle w:val="ConsPlusNormal"/>
        <w:spacing w:before="220" w:after="16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Средства, полученные из местного бюджета в форме бюджетных инвестиций,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>
      <w:pPr>
        <w:pStyle w:val="ConsPlusNormal"/>
        <w:ind w:firstLine="54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12. Объекты капитального строительства, созданные в результате осуществления бюджетных инвестиций, объекты недвижимого имущества, приобретенные в муниципальную собственность Камышловского городского округа, закрепляются Комитетом по управлению имуществом и земельным ресурсам Камышловского городского округа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указанных учреждений либо на праве оперативного управления или хозяйственного ведения у указанных предприятий, а также уставного фонда указанных предприятий, основанных на праве хозяйственного ведения, либо включаются в состав собственности Камышловского городского округа.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6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cc"/>
    <w:family w:val="roman"/>
    <w:pitch w:val="default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50806613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496e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95496e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95496e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nhideWhenUsed/>
    <w:qFormat/>
    <w:rsid w:val="0095496e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95496e"/>
    <w:pPr>
      <w:keepNext w:val="true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5496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5496e"/>
    <w:rPr>
      <w:rFonts w:ascii="Cambria" w:hAnsi="Cambria" w:eastAsia="Times New Roman"/>
      <w:b/>
      <w:bCs/>
      <w:i/>
      <w:iCs/>
      <w:sz w:val="28"/>
      <w:szCs w:val="28"/>
      <w:lang w:eastAsia="en-US"/>
    </w:rPr>
  </w:style>
  <w:style w:type="character" w:styleId="31" w:customStyle="1">
    <w:name w:val="Заголовок 3 Знак"/>
    <w:basedOn w:val="DefaultParagraphFont"/>
    <w:link w:val="3"/>
    <w:qFormat/>
    <w:rsid w:val="0095496e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95496e"/>
    <w:rPr>
      <w:rFonts w:eastAsia="Times New Roman"/>
      <w:b/>
      <w:bCs/>
      <w:sz w:val="28"/>
      <w:szCs w:val="28"/>
      <w:lang w:eastAsia="en-US"/>
    </w:rPr>
  </w:style>
  <w:style w:type="character" w:styleId="Style10" w:customStyle="1">
    <w:name w:val="Название Знак"/>
    <w:basedOn w:val="DefaultParagraphFont"/>
    <w:link w:val="a3"/>
    <w:uiPriority w:val="99"/>
    <w:qFormat/>
    <w:rsid w:val="0095496e"/>
    <w:rPr>
      <w:rFonts w:ascii="Times New Roman" w:hAnsi="Times New Roman" w:eastAsia="Times New Roman"/>
      <w:sz w:val="28"/>
      <w:szCs w:val="28"/>
      <w:u w:val="single"/>
    </w:rPr>
  </w:style>
  <w:style w:type="character" w:styleId="Strong">
    <w:name w:val="Strong"/>
    <w:basedOn w:val="DefaultParagraphFont"/>
    <w:uiPriority w:val="22"/>
    <w:qFormat/>
    <w:rsid w:val="0095496e"/>
    <w:rPr>
      <w:b/>
      <w:bCs/>
    </w:rPr>
  </w:style>
  <w:style w:type="character" w:styleId="Style11" w:customStyle="1">
    <w:name w:val="Верхний колонтитул Знак"/>
    <w:basedOn w:val="DefaultParagraphFont"/>
    <w:link w:val="a9"/>
    <w:uiPriority w:val="99"/>
    <w:qFormat/>
    <w:rsid w:val="00124ba9"/>
    <w:rPr>
      <w:sz w:val="22"/>
      <w:szCs w:val="22"/>
      <w:lang w:eastAsia="en-US"/>
    </w:rPr>
  </w:style>
  <w:style w:type="character" w:styleId="Style12" w:customStyle="1">
    <w:name w:val="Нижний колонтитул Знак"/>
    <w:basedOn w:val="DefaultParagraphFont"/>
    <w:link w:val="ab"/>
    <w:uiPriority w:val="99"/>
    <w:semiHidden/>
    <w:qFormat/>
    <w:rsid w:val="00124ba9"/>
    <w:rPr>
      <w:sz w:val="22"/>
      <w:szCs w:val="22"/>
      <w:lang w:eastAsia="en-US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12">
    <w:name w:val="TOC 1"/>
    <w:basedOn w:val="Normal"/>
    <w:next w:val="Normal"/>
    <w:autoRedefine/>
    <w:uiPriority w:val="39"/>
    <w:unhideWhenUsed/>
    <w:qFormat/>
    <w:rsid w:val="0095496e"/>
    <w:pPr>
      <w:spacing w:lineRule="auto" w:line="276" w:before="0" w:after="100"/>
    </w:pPr>
    <w:rPr>
      <w:rFonts w:ascii="Times New Roman" w:hAnsi="Times New Roman" w:eastAsia="Times New Roman"/>
      <w:sz w:val="28"/>
    </w:rPr>
  </w:style>
  <w:style w:type="paragraph" w:styleId="22">
    <w:name w:val="TOC 2"/>
    <w:basedOn w:val="Normal"/>
    <w:next w:val="Normal"/>
    <w:autoRedefine/>
    <w:uiPriority w:val="39"/>
    <w:unhideWhenUsed/>
    <w:qFormat/>
    <w:rsid w:val="0095496e"/>
    <w:pPr>
      <w:tabs>
        <w:tab w:val="clear" w:pos="708"/>
        <w:tab w:val="right" w:pos="9627" w:leader="dot"/>
      </w:tabs>
      <w:spacing w:lineRule="auto" w:line="276" w:before="0" w:after="100"/>
      <w:ind w:left="220" w:hanging="0"/>
    </w:pPr>
    <w:rPr>
      <w:rFonts w:ascii="Times New Roman" w:hAnsi="Times New Roman" w:eastAsia="Times New Roman"/>
      <w:sz w:val="28"/>
    </w:rPr>
  </w:style>
  <w:style w:type="paragraph" w:styleId="32">
    <w:name w:val="TOC 3"/>
    <w:basedOn w:val="Normal"/>
    <w:next w:val="Normal"/>
    <w:autoRedefine/>
    <w:uiPriority w:val="39"/>
    <w:unhideWhenUsed/>
    <w:qFormat/>
    <w:rsid w:val="0095496e"/>
    <w:pPr>
      <w:spacing w:lineRule="auto" w:line="276" w:before="0" w:after="100"/>
      <w:ind w:left="440" w:hanging="0"/>
    </w:pPr>
    <w:rPr>
      <w:rFonts w:ascii="Times New Roman" w:hAnsi="Times New Roman" w:eastAsia="Times New Roman"/>
      <w:sz w:val="28"/>
    </w:rPr>
  </w:style>
  <w:style w:type="paragraph" w:styleId="Style20">
    <w:name w:val="Title"/>
    <w:basedOn w:val="Normal"/>
    <w:link w:val="a4"/>
    <w:uiPriority w:val="99"/>
    <w:qFormat/>
    <w:rsid w:val="0095496e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8"/>
      <w:u w:val="single"/>
      <w:lang w:eastAsia="ru-RU"/>
    </w:rPr>
  </w:style>
  <w:style w:type="paragraph" w:styleId="NoSpacing">
    <w:name w:val="No Spacing"/>
    <w:uiPriority w:val="1"/>
    <w:qFormat/>
    <w:rsid w:val="0095496e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5496e"/>
    <w:pPr>
      <w:spacing w:lineRule="auto" w:line="276" w:before="0" w:after="200"/>
      <w:ind w:left="720" w:hanging="0"/>
      <w:contextualSpacing/>
    </w:pPr>
    <w:rPr/>
  </w:style>
  <w:style w:type="paragraph" w:styleId="TOCHeading">
    <w:name w:val="TOC Heading"/>
    <w:basedOn w:val="1"/>
    <w:next w:val="Normal"/>
    <w:uiPriority w:val="39"/>
    <w:semiHidden/>
    <w:unhideWhenUsed/>
    <w:qFormat/>
    <w:rsid w:val="0095496e"/>
    <w:pPr>
      <w:keepLines/>
      <w:spacing w:lineRule="auto" w:line="276" w:before="480" w:after="0"/>
    </w:pPr>
    <w:rPr>
      <w:color w:val="365F91"/>
      <w:kern w:val="0"/>
      <w:sz w:val="28"/>
      <w:szCs w:val="28"/>
      <w:lang w:eastAsia="en-US"/>
    </w:rPr>
  </w:style>
  <w:style w:type="paragraph" w:styleId="ConsPlusNormal" w:customStyle="1">
    <w:name w:val="ConsPlusNormal"/>
    <w:qFormat/>
    <w:rsid w:val="006a5848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a5848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a5848"/>
    <w:pPr>
      <w:widowControl w:val="fals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0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a"/>
    <w:uiPriority w:val="99"/>
    <w:unhideWhenUsed/>
    <w:rsid w:val="00124ba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c"/>
    <w:uiPriority w:val="99"/>
    <w:semiHidden/>
    <w:unhideWhenUsed/>
    <w:rsid w:val="00124ba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Обычный"/>
    <w:qFormat/>
    <w:pPr>
      <w:widowControl w:val="false"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Times New Roman" w:hAnsi="Times New Roman" w:eastAsia="Tahoma" w:cs="Arial"/>
      <w:color w:val="auto"/>
      <w:kern w:val="0"/>
      <w:sz w:val="20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3E937BAAA50366B802E492DA13BBA8B859BA5AF67D205A6972EC49A25A8F704290DCA0771CEC875B0A7FBB971FBAA515BEDCC3A8AAE3v9eEG" TargetMode="External"/><Relationship Id="rId4" Type="http://schemas.openxmlformats.org/officeDocument/2006/relationships/hyperlink" Target="consultantplus://offline/ref=3E937BAAA50366B802E48CD705D7F6B25BB401F2722156372BB312FF0D867A15D793F92551BB8C525630FFC30CBAAD09vBeFG" TargetMode="External"/><Relationship Id="rId5" Type="http://schemas.openxmlformats.org/officeDocument/2006/relationships/hyperlink" Target="consultantplus://offline/ref=3E937BAAA50366B802E492DA13BBA8B859B85CFD7D215A6972EC49A25A8F704290DCA0731DE78A040F6AAACF10B0B30BBFC3DFAAA8vEe0G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Application>LibreOffice/6.3.4.2$Windows_X86_64 LibreOffice_project/60da17e045e08f1793c57c00ba83cdfce946d0aa</Application>
  <Pages>11</Pages>
  <Words>2667</Words>
  <Characters>21207</Characters>
  <CharactersWithSpaces>23842</CharactersWithSpaces>
  <Paragraphs>93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2021-01-28T06:30:00Z</dcterms:created>
  <dc:creator>Пульников</dc:creator>
  <dc:description/>
  <dc:language>ru-RU</dc:language>
  <cp:lastModifiedBy/>
  <cp:lastPrinted>2021-03-09T15:13:44Z</cp:lastPrinted>
  <dcterms:modified xsi:type="dcterms:W3CDTF">2021-03-09T15:14:10Z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