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/>
      </w:pPr>
      <w:r>
        <w:rPr>
          <w:rStyle w:val="Style14"/>
          <w:rFonts w:eastAsia="Liberation Serif;Times New Roman" w:cs="Liberation Serif;Times New Roman" w:ascii="Liberation Serif;Times New Roman" w:hAnsi="Liberation Serif;Times New Roman"/>
          <w:kern w:val="2"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2600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06" t="-909" r="-1406" b="-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0"/>
        <w:jc w:val="left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от 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2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7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en-US" w:eastAsia="ru-RU" w:bidi="ar-SA"/>
        </w:rPr>
        <w:t>.02.2020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 xml:space="preserve">  N 1</w:t>
      </w:r>
      <w:r>
        <w:rPr>
          <w:rStyle w:val="Style14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kern w:val="2"/>
          <w:sz w:val="28"/>
          <w:szCs w:val="28"/>
          <w:lang w:val="ru-RU" w:eastAsia="ru-RU" w:bidi="ar-SA"/>
        </w:rPr>
        <w:t>30</w:t>
      </w:r>
    </w:p>
    <w:p>
      <w:pPr>
        <w:pStyle w:val="Style20"/>
        <w:jc w:val="center"/>
        <w:rPr>
          <w:rStyle w:val="Style14"/>
          <w:rFonts w:ascii="Liberation Serif" w:hAnsi="Liberation Serif" w:eastAsia="Times New Roman" w:cs="Liberation Serif;Times New Roman"/>
          <w:bCs/>
          <w:i w:val="false"/>
          <w:i w:val="false"/>
          <w:iCs w:val="false"/>
          <w:color w:val="000000"/>
          <w:spacing w:val="-1"/>
          <w:kern w:val="2"/>
          <w:lang w:val="ru-RU" w:eastAsia="ru-RU" w:bidi="ar-SA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постановление главы Камышловского городского округа от 17.02.2016 №164 «О создании рабочей группы по снижению неформальной занятости, легализации заработной платы, повышению собираемости страховых взносов во внебюджетные фонды Камышловского городского округа» (с учетом внесенных изменений </w:t>
      </w:r>
    </w:p>
    <w:p>
      <w:pPr>
        <w:pStyle w:val="Style2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от 23.06.2017 №609, от 16.01.2018 №41, от 05.06.2019 №522)</w:t>
      </w:r>
    </w:p>
    <w:p>
      <w:pPr>
        <w:pStyle w:val="Style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В целях снижения неформальной занятости населения Камышловского городского округа, легализации «серой» заработной платы, повышению собираемости страховых взносов во внебюджетные фонды, в соответствии с пунктом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I</w:t>
      </w:r>
      <w:r>
        <w:rPr>
          <w:rStyle w:val="Style14"/>
          <w:rFonts w:ascii="Liberation Serif" w:hAnsi="Liberation Serif"/>
          <w:sz w:val="28"/>
          <w:szCs w:val="28"/>
        </w:rPr>
        <w:t xml:space="preserve"> раздела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4"/>
          <w:rFonts w:ascii="Liberation Serif" w:hAnsi="Liberation Serif"/>
          <w:sz w:val="28"/>
          <w:szCs w:val="28"/>
        </w:rPr>
        <w:t xml:space="preserve"> П</w:t>
      </w:r>
      <w:r>
        <w:rPr>
          <w:rStyle w:val="Style14"/>
          <w:rFonts w:ascii="Liberation Serif" w:hAnsi="Liberation Serif"/>
          <w:color w:val="000000"/>
          <w:sz w:val="28"/>
          <w:szCs w:val="28"/>
          <w:highlight w:val="white"/>
        </w:rPr>
        <w:t>ротокола рабочего совещания у Заместителя Председателя Правительства Российской Федерации О.Ю.Голодец от 09.10.2014 г. №ОГ-П12-275пр, руководствуясь Уставом Камышловского городского округа, в соответствии с кадровыми изменениями, администрация Камышловского городского округа</w:t>
      </w:r>
    </w:p>
    <w:p>
      <w:pPr>
        <w:pStyle w:val="Style2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0"/>
        <w:numPr>
          <w:ilvl w:val="0"/>
          <w:numId w:val="1"/>
        </w:numPr>
        <w:tabs>
          <w:tab w:val="clear" w:pos="708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постановление главы Камышловского городского округа от 17.02.2016 года №164 «О создании рабочей группы по снижению неформальной занятости, легализации заработной платы, повышению собираемости страховых взносов во внебюджетные фонды Камышловского городского округа» следующие изменения: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Состав рабочей группы по снижению неформальной занятости, легализации заработной платы, повышению собираемости страховых взносов во внебюджетные фонды, утвердить в новой редакции (приложение 1);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План мероприятий по снижению неформальной занятости по Камышловскому городскому округу, утвердить в новой редакции (приложение 2).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округа.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>
      <w:pPr>
        <w:pStyle w:val="Style20"/>
        <w:widowControl w:val="false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Style20"/>
        <w:widowControl w:val="false"/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tbl>
      <w:tblPr>
        <w:tblW w:w="3900" w:type="dxa"/>
        <w:jc w:val="left"/>
        <w:tblInd w:w="563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0"/>
      </w:tblGrid>
      <w:tr>
        <w:trPr/>
        <w:tc>
          <w:tcPr>
            <w:tcW w:w="3900" w:type="dxa"/>
            <w:tcBorders/>
            <w:shd w:fill="auto" w:val="clear"/>
          </w:tcPr>
          <w:p>
            <w:pPr>
              <w:pStyle w:val="Style20"/>
              <w:widowControl w:val="false"/>
              <w:tabs>
                <w:tab w:val="clear" w:pos="708"/>
              </w:tabs>
              <w:suppressAutoHyphens w:val="true"/>
              <w:ind w:left="0" w:right="-5443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 1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Приложение № 1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УТВЕРЖДЕН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>
              <w:rPr>
                <w:rFonts w:ascii="Liberation Serif" w:hAnsi="Liberation Serif"/>
                <w:sz w:val="24"/>
                <w:szCs w:val="24"/>
              </w:rPr>
              <w:t>остановлением администрации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Камышловского городского округа</w:t>
            </w:r>
          </w:p>
          <w:p>
            <w:pPr>
              <w:pStyle w:val="Style20"/>
              <w:jc w:val="center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27.02.2020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№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130</w:t>
            </w:r>
          </w:p>
        </w:tc>
      </w:tr>
    </w:tbl>
    <w:p>
      <w:pPr>
        <w:pStyle w:val="Style20"/>
        <w:tabs>
          <w:tab w:val="clear" w:pos="708"/>
        </w:tabs>
        <w:ind w:left="4680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tabs>
          <w:tab w:val="clear" w:pos="708"/>
        </w:tabs>
        <w:ind w:left="4680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</w:t>
      </w:r>
    </w:p>
    <w:p>
      <w:pPr>
        <w:pStyle w:val="Style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рабочей группы по снижению неформальной занятости, легализации заработной платы, повышению собираемости страховых взносов во внебюджетные фонды Камышловского городского округа</w:t>
      </w:r>
    </w:p>
    <w:p>
      <w:pPr>
        <w:pStyle w:val="Style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78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397"/>
        <w:gridCol w:w="5244"/>
      </w:tblGrid>
      <w:tr>
        <w:trPr/>
        <w:tc>
          <w:tcPr>
            <w:tcW w:w="4140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Руководитель рабочей группы Власова Елена Николаевна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  <w:p>
            <w:pPr>
              <w:pStyle w:val="Style20"/>
              <w:tabs>
                <w:tab w:val="clear" w:pos="708"/>
              </w:tabs>
              <w:ind w:left="-108" w:right="-108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0"/>
              <w:ind w:left="0" w:right="-77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ind w:left="0" w:right="-77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Камышловского городского округа, </w:t>
            </w:r>
          </w:p>
          <w:p>
            <w:pPr>
              <w:pStyle w:val="Style20"/>
              <w:ind w:left="0" w:right="-77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781" w:type="dxa"/>
            <w:gridSpan w:val="3"/>
            <w:tcBorders/>
            <w:shd w:fill="auto" w:val="clear"/>
          </w:tcPr>
          <w:p>
            <w:pPr>
              <w:pStyle w:val="Style20"/>
              <w:ind w:left="0" w:right="-77" w:hanging="10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секретарь рабочей группы</w:t>
            </w:r>
          </w:p>
          <w:p>
            <w:pPr>
              <w:pStyle w:val="Style20"/>
              <w:tabs>
                <w:tab w:val="clear" w:pos="708"/>
                <w:tab w:val="left" w:pos="4305" w:leader="none"/>
              </w:tabs>
              <w:ind w:left="0" w:right="-77" w:hanging="10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Хапочкина Ольга Александровна</w:t>
              <w:tab/>
              <w:t>-   ведущий специалист отдела   экономики</w:t>
            </w:r>
          </w:p>
          <w:p>
            <w:pPr>
              <w:pStyle w:val="Style20"/>
              <w:tabs>
                <w:tab w:val="clear" w:pos="708"/>
                <w:tab w:val="left" w:pos="4305" w:leader="none"/>
              </w:tabs>
              <w:ind w:left="0" w:right="-77" w:hanging="10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администрации                Камышловского </w:t>
            </w:r>
          </w:p>
          <w:p>
            <w:pPr>
              <w:pStyle w:val="Style20"/>
              <w:tabs>
                <w:tab w:val="clear" w:pos="708"/>
                <w:tab w:val="left" w:pos="4305" w:leader="none"/>
              </w:tabs>
              <w:ind w:left="0" w:right="-77" w:hanging="108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</w:tr>
      <w:tr>
        <w:trPr/>
        <w:tc>
          <w:tcPr>
            <w:tcW w:w="4140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рабочей группы:</w:t>
            </w:r>
          </w:p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Акимова Наталья Витальевна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Style20"/>
              <w:tabs>
                <w:tab w:val="clear" w:pos="708"/>
              </w:tabs>
              <w:ind w:left="-108" w:right="-108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0"/>
              <w:ind w:left="0" w:right="-77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ind w:left="0" w:right="-77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отдела экономики администрации Камышловского городского округа (либо замещающий сотрудник);</w:t>
            </w:r>
          </w:p>
        </w:tc>
      </w:tr>
      <w:tr>
        <w:trPr/>
        <w:tc>
          <w:tcPr>
            <w:tcW w:w="4140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Бунькова Ирина Владимировна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Управления Пенсионного фонда Российской Федерации в г.Камышлове Свердловской области (межрайонное)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Пермикин Андрей Викторович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отделения экономической безопасности и противодействия коррупции межмуниципального отдела министерства внутренних дел России «Камышловский»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Яковлева Наталья Михайловна 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Талицкого отдела управления Роспотребнадзора по Свердловской области, главный государственный санитарный врач в Талицком,  Байкаловском, Тугулымском районах, городе Камышлов, Камышловском и Пышминском районах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Кремлева Марина Васильевна </w:t>
            </w:r>
          </w:p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tabs>
                <w:tab w:val="clear" w:pos="708"/>
              </w:tabs>
              <w:ind w:left="-108" w:right="-183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директор государственного казённого учреждения службы занятости населения Свердловской области «Камышловский центр занятости»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Верёвкина Ольга Владимировна</w:t>
            </w:r>
          </w:p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Боровских Галина Вадимовна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>главный государственный налоговый инспектор межрайонной инспекции федеральной налоговой службы №19 по Свердловской области (либо замещающий сотрудник) (по согласованию);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-начальник отделения по вопросам миграции межмуниципального отдела министерства внутренних дел России «Камышловский»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Ракова Виктория Александровна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cs="Arial" w:ascii="Liberation Serif" w:hAnsi="Liberation Serif"/>
                <w:color w:val="000000"/>
                <w:sz w:val="28"/>
                <w:szCs w:val="28"/>
                <w:highlight w:val="white"/>
              </w:rPr>
              <w:t>заместитель старшего судебного пристава ОСП по Камышловскому и Пышминскому районам УФССП России по Свердловской области</w:t>
            </w:r>
            <w:r>
              <w:rPr>
                <w:rStyle w:val="Style14"/>
                <w:rFonts w:ascii="Liberation Serif" w:hAnsi="Liberation Serif"/>
                <w:sz w:val="28"/>
                <w:szCs w:val="28"/>
              </w:rPr>
              <w:t xml:space="preserve"> (либо замещающий сотрудник) (по согласованию);</w:t>
            </w:r>
          </w:p>
        </w:tc>
      </w:tr>
      <w:tr>
        <w:trPr/>
        <w:tc>
          <w:tcPr>
            <w:tcW w:w="4140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Норкина Рената Александровна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0"/>
              <w:ind w:left="0" w:right="-77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профсоюзного комитета ОАО «ЭЛТЕЗА» (по согласованию);</w:t>
            </w:r>
          </w:p>
        </w:tc>
      </w:tr>
      <w:tr>
        <w:trPr/>
        <w:tc>
          <w:tcPr>
            <w:tcW w:w="4140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Темирбаев Радик Минхаилович</w:t>
            </w:r>
          </w:p>
        </w:tc>
        <w:tc>
          <w:tcPr>
            <w:tcW w:w="397" w:type="dxa"/>
            <w:tcBorders/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108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Style20"/>
              <w:ind w:left="0" w:right="-77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общества с ограниченной ответственностью «Чистый город», председатель экспертного совета Камышловского городского округа «Бизнес», председатель совета предпринимателей Камышловского городского округа (по согласованию)</w:t>
            </w:r>
          </w:p>
        </w:tc>
      </w:tr>
    </w:tbl>
    <w:p>
      <w:pPr>
        <w:pStyle w:val="Style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6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6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6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0"/>
        <w:ind w:left="0" w:right="0" w:firstLine="6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418" w:right="850" w:header="708" w:top="709" w:footer="0" w:bottom="708" w:gutter="0"/>
          <w:pgNumType w:fmt="decimal"/>
          <w:formProt w:val="false"/>
          <w:textDirection w:val="lrTb"/>
          <w:docGrid w:type="default" w:linePitch="600" w:charSpace="40960"/>
        </w:sectPr>
        <w:pStyle w:val="Style20"/>
        <w:ind w:left="0" w:right="0" w:firstLine="6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132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5"/>
      </w:tblGrid>
      <w:tr>
        <w:trPr>
          <w:trHeight w:val="1196" w:hRule="atLeast"/>
        </w:trPr>
        <w:tc>
          <w:tcPr>
            <w:tcW w:w="13215" w:type="dxa"/>
            <w:tcBorders/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Приложение 2                                                                                        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УТВЕРЖДЕН</w:t>
            </w:r>
          </w:p>
          <w:p>
            <w:pPr>
              <w:pStyle w:val="Style2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постановлением администрации</w:t>
            </w:r>
          </w:p>
          <w:p>
            <w:pPr>
              <w:pStyle w:val="Style2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Камышловского городского округа</w:t>
            </w:r>
          </w:p>
          <w:p>
            <w:pPr>
              <w:pStyle w:val="Style2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sz w:val="24"/>
                <w:szCs w:val="24"/>
              </w:rPr>
              <w:t>27.02.2020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>
              <w:rPr>
                <w:rFonts w:ascii="Liberation Serif" w:hAnsi="Liberation Serif"/>
                <w:sz w:val="24"/>
                <w:szCs w:val="24"/>
              </w:rPr>
              <w:t>130</w:t>
            </w:r>
          </w:p>
          <w:p>
            <w:pPr>
              <w:pStyle w:val="Style2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>
          <w:trHeight w:val="1196" w:hRule="atLeast"/>
        </w:trPr>
        <w:tc>
          <w:tcPr>
            <w:tcW w:w="13215" w:type="dxa"/>
            <w:tcBorders/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ПЛАН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мероприятий по снижению неформальной занятости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по Камышловскому городскому округу</w:t>
            </w:r>
          </w:p>
          <w:p>
            <w:pPr>
              <w:pStyle w:val="Style20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Style20"/>
        <w:rPr>
          <w:vanish/>
        </w:rPr>
      </w:pPr>
      <w:r>
        <w:rPr>
          <w:vanish/>
        </w:rPr>
      </w:r>
    </w:p>
    <w:tbl>
      <w:tblPr>
        <w:tblW w:w="15310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4669"/>
        <w:gridCol w:w="1843"/>
        <w:gridCol w:w="5670"/>
        <w:gridCol w:w="2551"/>
      </w:tblGrid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>
            <w:pPr>
              <w:pStyle w:val="Style20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Срок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исполнения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Ожидаемый результат</w:t>
            </w:r>
          </w:p>
        </w:tc>
      </w:tr>
      <w:tr>
        <w:trPr>
          <w:trHeight w:val="395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  <w:rFonts w:ascii="Liberation Serif" w:hAnsi="Liberation Serif"/>
                <w:b/>
                <w:sz w:val="24"/>
                <w:szCs w:val="24"/>
              </w:rPr>
              <w:t>Организационные мероприятия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заседаний рабочей группы по снижению неформальной занятости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hd w:fill="FFFFFF" w:val="clear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>ежемесячно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Координация работы членов рабочей группы 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Организация взаимодействия и обмена информацией с налоговыми органами, пенсионным фондом, центром занятости населения, надзорными, контрольными, правоохранительными органами, государственной инспекцией труда, в том числе в части принятия мер административного воздействия к руководителям организаций, нарушающих трудовое законодательство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Отдел экономики администрации Камышловского городского округа; Управление Пенсионного фонда Российской Федерации в г. Камышлове Свердловской области (межрайонное); ГКУ СО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занятости»;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>МИФНС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России №19 по Свердловской области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 xml:space="preserve">; Камышловский районный отдел УФССП по Свердловской области; ОБЭП МО МВД РФ «Камышловский»;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Отдел администрирования страховых взносов филиала №2 ГУ Свердловского регионального отделения фонда социального страхования РФ; Государственная инспекция по труду Свердловской области. 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проверок на предприятиях, на которых выявлены факты несоответствия данных по занятости работников, в том числе выездных проверок</w:t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 исполнение п.п. 5.1. п. 5 Протокола заседания Координационного совета по вопросам оплаты труда, легализации трудовых отношений и занятости граждан предпенсионного возраста от 18 декабря 2019 организовать мероприятия по проведению адресной работы с юридическими лицами, занимающимися лесозаготовительной деятельностью и имеющими признаки неформальных трудовых отношений с работниками.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Отдел экономики администрации Камышловского городского округа; Управление Пенсионного фонда Российской Федерации в г.Камышлове Свердловской области (межрайонное); ГКУ СО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занятости»;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>МИФНС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России №19 по Свердловской области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 xml:space="preserve">; Камышловский районный отдел УФССП по Свердловской области; ОБЭП МО МВД РФ «Камышловский»;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Отдел администрирования страховых взносов филиала №2 ГУ Свердловского регионального отделения фонда социального страхования РФ; Государственная инспекция по труду Свердловской области.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неформальной занятости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1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9"/>
                <w:rFonts w:ascii="Liberation Serif" w:hAnsi="Liberation Serif"/>
                <w:color w:val="000000"/>
                <w:sz w:val="24"/>
                <w:szCs w:val="24"/>
              </w:rPr>
              <w:t>Информационно-разъяснительные мероприятия, направленные на стимулирование (повышение заинтересованности) юридических и физических лиц к легальному оформлению трудовых отношений («выходу из тени»)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Информирование работодателей о необходимости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соблюдения требований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Трудового кодекса Российской Федерации в части оформления трудовых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Государственное казённое учреждение службы занятости населения Свердловской области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количества вакантных рабочих мест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Информирование работодателей о соблюдении требований федерального и регионального законодательства в части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представления в ГКУ «Камышловский центр занятости» информации о вакантных рабочих местах.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Государственное казённое учреждение службы занятости населения Свердловской области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количества вакантных рабочих мест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и ежедневное обновление банка вакантных рабочих мест и банка граждан, находящихся в поиске работы</w:t>
            </w:r>
          </w:p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Государственное казённое учреждение службы занятости населения Свердловской области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Содействие в трудоустройстве незанятым гражданам до обращения в органы службы занятости, снижение уровня регистрируемой безработицы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и проведение работы «электронной почты доверия» и телефона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«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горячей линии» по вопросам легализации трудовых отношений и выплаты заработной платы.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Управление Пенсионного фонда Российской Федерации в г. Камышлове Свердловской области (межрайонное)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;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Государственное казённое учреждение службы занятости населения Свердловской области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; МИФНС №19 России по Свердловской области; Отдел администрирования страховых взносов филиала №2 ГУ Свердловского регионального отделения фонда социального страхования РФ.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Снижение неформальной занятости 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2.5.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Государственное казённое учреждение службы занятости населения Свердловской области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, Управление Пенсионного фонда Российской Федерации в г. Камышлове Свердловской области (межрайонное)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>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деятельности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2.6.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Размещение материалов по неформальной занятости на информационных стендах, с актуализацией материала на постоянной основе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течении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Государственное казённое учреждение службы занятости населения Свердловской области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, Управление Пенсионного фонда Российской Федерации в г. Камышлове Свердловской области (межрайонное), муниципальные учреждения Камышловского городского округа, информационные стенды на предприятиях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деятельности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2.7.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информационных листов, брошюр, буклетов, плакатов и других форм наглядной агитации и их размещение в организациях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течении года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Управление Пенсионного фонда Российской Федерации в г. Камышлове Свердловской области (межрайонное), Камышловский отдел администрирования страховых взносов филиала №2 ГУ Свердловского регионального отделения фонда социального страхования РФ, Государственное казённое учреждение службы занятости населения Свердловской области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деятельности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2.8.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информационной кампании, в том числе выступлений по КамТВ, в газете «Камышловские известия»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Пенсионного фонда Российской Федерации в г. Камышлове Свердловской области (межрайонное), Камышловский отдел администрирования страховых взносов филиала №2 ГУ Свердловского регионального отделения фонда социального страхования РФ, отдел экономики администрации Камышловского городского округа.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негативного отношения к неформальной деятельности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3.</w:t>
            </w:r>
          </w:p>
        </w:tc>
        <w:tc>
          <w:tcPr>
            <w:tcW w:w="1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Организация мониторинга неформальной занятости</w:t>
            </w:r>
          </w:p>
        </w:tc>
      </w:tr>
      <w:tr>
        <w:trPr>
          <w:trHeight w:val="1156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Мониторинг предприятий и организаций, на которых размер заработной платы ниже минимальной оплаты труда РФ.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Управление Пенсионного фонда Российской Федерации в г. Камышлове Свердловской области (межрайонное), МИФНС №19 по Свердловской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Увеличение поступления страховых взносов во внебюджетные фонды</w:t>
            </w:r>
          </w:p>
        </w:tc>
      </w:tr>
      <w:tr>
        <w:trPr>
          <w:trHeight w:val="1833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анонимного анкетирования застрахованных лиц по выплате неофициальной заработной платы и фактам работы без оформления трудовых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МИФНС №19 по Свердловской области, Управление Пенсионного фонда Российской Федерации в г. Камышлове Свердловской области (межрайонное), Камышловский отдел администрирования страховых взносов филиала №2 ГУ Свердловского регионального отделения фонда социального страхования РФ.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Увеличение поступления страховых взносов во внебюджетные фонды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3.3.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Мониторинг сведений об организациях (работодателях) и численности работников организаций (мужчины 1959, женщины 1964 года рождения), не являющихся пенсионерами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Государственное казённое учреждение службы занятости населения Свердловской области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уровня необоснованного увольнения граждан предпенсионного возраста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3.4.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Мониторинг сведений о реализации мер по содействию занятости граждан предпенсионного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ежемесячно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Государственное казённое учреждение службы занятости населения Свердловской области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фактов неформальной занятости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</w:p>
        </w:tc>
        <w:tc>
          <w:tcPr>
            <w:tcW w:w="1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Создание условий для ведения бизнеса, при которых исключена или затруднена возможность </w:t>
            </w:r>
          </w:p>
          <w:p>
            <w:pPr>
              <w:pStyle w:val="Style20"/>
              <w:jc w:val="center"/>
              <w:rPr/>
            </w:pPr>
            <w:r>
              <w:rPr>
                <w:rStyle w:val="Style14"/>
                <w:rFonts w:ascii="Liberation Serif" w:hAnsi="Liberation Serif"/>
                <w:b/>
                <w:sz w:val="24"/>
                <w:szCs w:val="24"/>
              </w:rPr>
              <w:t>осуществления нелегальной деятельности</w:t>
            </w:r>
          </w:p>
        </w:tc>
      </w:tr>
      <w:tr>
        <w:trPr>
          <w:trHeight w:val="410" w:hRule="atLeast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Инициирование процедуры банкротства для предприятий - «должников» по выплатам во внебюджетные фонды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МИФНС №19 по Свердловской области; Управление Пенсионного фонда Российской Федерации в г. Камышлове Свердловской области (межрайонное), Камышловский отдел администрирования страховых взносов филиала №2 ГУ Свердловского регионального отделения фонда социального страхования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Акты исполнительных органов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Обеспечение трудоустройства экономически активных лиц, находящихся в трудоспособном возрасте, не осуществляющих трудовую деятельность, согласно установленных целевых показателей по соглашению с Правительством СО о взаимодействии в реализации мероприятий, направленных на снижение неформальной занятости на территории Камышловского городского округа.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Государственное казённое учреждение службы занятости населения Свердловской области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центр занятости»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, Управление Пенсионного фонда Российской Федерации в г. Камышлове Свердловской области (межрайонное), отдел экономики администрации Камышловского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Снижение количества экономически активных лиц, находящихся в трудоспособном возрасте, не осуществляющих трудовую деятельность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b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5.</w:t>
            </w:r>
          </w:p>
        </w:tc>
        <w:tc>
          <w:tcPr>
            <w:tcW w:w="14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  <w:rFonts w:ascii="Liberation Serif" w:hAnsi="Liberation Serif"/>
                <w:b/>
                <w:sz w:val="24"/>
                <w:szCs w:val="24"/>
              </w:rPr>
              <w:t>Контрольные мероприятия</w:t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shd w:fill="FFFFFF" w:val="clear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>Подготовка и предоставление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отчетов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>:</w:t>
            </w:r>
          </w:p>
          <w:p>
            <w:pPr>
              <w:pStyle w:val="Style20"/>
              <w:widowControl/>
              <w:numPr>
                <w:ilvl w:val="0"/>
                <w:numId w:val="2"/>
              </w:numPr>
              <w:tabs>
                <w:tab w:val="clear" w:pos="708"/>
                <w:tab w:val="left" w:pos="993" w:leader="none"/>
              </w:tabs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достижении контрольных показателей по снижению численности экономически активных лиц, находящихся в трудоспособном возрасте, не осуществляющих трудовую деятельность;</w:t>
            </w:r>
          </w:p>
          <w:p>
            <w:pPr>
              <w:pStyle w:val="Style27"/>
              <w:numPr>
                <w:ilvl w:val="0"/>
                <w:numId w:val="2"/>
              </w:numPr>
              <w:tabs>
                <w:tab w:val="left" w:pos="993" w:leader="none"/>
              </w:tabs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 реализации Плана мероприятий по снижению неформальной занятости;</w:t>
            </w:r>
          </w:p>
          <w:p>
            <w:pPr>
              <w:pStyle w:val="Style27"/>
              <w:numPr>
                <w:ilvl w:val="0"/>
                <w:numId w:val="2"/>
              </w:numPr>
              <w:tabs>
                <w:tab w:val="left" w:pos="993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о работе Рабочих групп и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lang w:eastAsia="ru-RU"/>
              </w:rPr>
              <w:t xml:space="preserve"> принятых мерах по итогам заслушивания организаций;</w:t>
            </w:r>
          </w:p>
          <w:p>
            <w:pPr>
              <w:pStyle w:val="Style27"/>
              <w:numPr>
                <w:ilvl w:val="0"/>
                <w:numId w:val="2"/>
              </w:numPr>
              <w:tabs>
                <w:tab w:val="left" w:pos="993" w:leader="none"/>
              </w:tabs>
              <w:spacing w:lineRule="auto" w:line="240" w:before="0" w:after="0"/>
              <w:ind w:left="26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информация о работе по вопросам неформальной занятости в сфере торговли, общественного питания и бытовых услуг; </w:t>
            </w:r>
          </w:p>
          <w:p>
            <w:pPr>
              <w:pStyle w:val="Style27"/>
              <w:numPr>
                <w:ilvl w:val="0"/>
                <w:numId w:val="2"/>
              </w:numPr>
              <w:tabs>
                <w:tab w:val="left" w:pos="993" w:leader="none"/>
              </w:tabs>
              <w:spacing w:lineRule="auto" w:line="240" w:before="0" w:after="0"/>
              <w:ind w:left="26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предоставление сведений по ведению индивидуального учета закрепляемости на рабочих местах лиц, заключивших трудовые договора в ходе реализации мер по снижению неформальной занятости.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20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>В сроки,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>установленные Министерством экономики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 xml:space="preserve"> 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>Свердловской области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shd w:fill="FFFFFF" w:val="clear"/>
              <w:spacing w:lineRule="atLeast" w:line="270" w:before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Анализ эффективности реализации плана мероприятий по снижению неформальной занятости по Камышловскому городскому округу</w:t>
            </w:r>
          </w:p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8"/>
              <w:shd w:fill="FFFFFF" w:val="clear"/>
              <w:spacing w:lineRule="atLeast" w:line="270"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Проведение совместных проверок с органами государственного контроля (надзора) в пределах установленных полномочий по вопросам нарушения трудовых прав работников:</w:t>
            </w:r>
          </w:p>
          <w:p>
            <w:pPr>
              <w:pStyle w:val="Style28"/>
              <w:shd w:fill="FFFFFF" w:val="clear"/>
              <w:spacing w:lineRule="atLeast" w:line="270"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 выплаты заработной платы ниже минимального размера оплаты труда; </w:t>
            </w:r>
          </w:p>
          <w:p>
            <w:pPr>
              <w:pStyle w:val="Style28"/>
              <w:shd w:fill="FFFFFF" w:val="clear"/>
              <w:spacing w:lineRule="atLeast" w:line="270" w:before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-неформальной занятости;</w:t>
            </w:r>
          </w:p>
          <w:p>
            <w:pPr>
              <w:pStyle w:val="Style28"/>
              <w:shd w:fill="FFFFFF" w:val="clear"/>
              <w:spacing w:lineRule="atLeast" w:line="270" w:before="0" w:after="0"/>
              <w:jc w:val="both"/>
              <w:rPr/>
            </w:pPr>
            <w:r>
              <w:rPr>
                <w:rStyle w:val="Style14"/>
                <w:rFonts w:ascii="Liberation Serif" w:hAnsi="Liberation Serif"/>
                <w:color w:val="000000"/>
              </w:rPr>
              <w:t>- заработной плате в «конверте».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необходимости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jc w:val="both"/>
              <w:rPr/>
            </w:pP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Отдел экономики администрации Камышловского городского округа, Управление Пенсионного фонда Российской Федерации в г. Камышлове Свердловской области (межрайонное), Государственное казённое учреждение службы занятости населения Свердловской области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 «Камышловский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центр занятости»,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МИФНС №19 по Свердловской области</w:t>
            </w:r>
            <w:r>
              <w:rPr>
                <w:rStyle w:val="Style14"/>
                <w:rFonts w:ascii="Liberation Serif" w:hAnsi="Liberation Serif"/>
                <w:sz w:val="24"/>
                <w:szCs w:val="24"/>
                <w:highlight w:val="white"/>
              </w:rPr>
              <w:t xml:space="preserve">, Камышловский районный отдел УФССП по Свердловской области; ОБЭП МО МВД России «Камышловский»; </w:t>
            </w:r>
            <w:r>
              <w:rPr>
                <w:rStyle w:val="Style14"/>
                <w:rFonts w:ascii="Liberation Serif" w:hAnsi="Liberation Serif"/>
                <w:sz w:val="24"/>
                <w:szCs w:val="24"/>
              </w:rPr>
              <w:t>Отдел администрирования страховых взносов филиала №2 ГУ Свердловского регионального отделения фонда социального страхования РФ.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>
                <w:rStyle w:val="Style14"/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>Усиление ответственности работодателей</w:t>
            </w:r>
          </w:p>
        </w:tc>
      </w:tr>
    </w:tbl>
    <w:p>
      <w:pPr>
        <w:pStyle w:val="Style20"/>
        <w:ind w:left="0" w:right="0" w:firstLine="6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headerReference w:type="default" r:id="rId4"/>
      <w:type w:val="nextPage"/>
      <w:pgSz w:orient="landscape" w:w="16838" w:h="11906"/>
      <w:pgMar w:left="1134" w:right="709" w:header="1418" w:top="1880" w:footer="0" w:bottom="851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538" w:hanging="720"/>
      </w:pPr>
    </w:lvl>
    <w:lvl w:ilvl="3">
      <w:start w:val="1"/>
      <w:numFmt w:val="decimal"/>
      <w:lvlText w:val="%1.%2.%3.%4."/>
      <w:lvlJc w:val="left"/>
      <w:pPr>
        <w:ind w:left="2007" w:hanging="1080"/>
      </w:pPr>
    </w:lvl>
    <w:lvl w:ilvl="4">
      <w:start w:val="1"/>
      <w:numFmt w:val="decimal"/>
      <w:lvlText w:val="%1.%2.%3.%4.%5."/>
      <w:lvlJc w:val="left"/>
      <w:pPr>
        <w:ind w:left="2116" w:hanging="1080"/>
      </w:pPr>
    </w:lvl>
    <w:lvl w:ilvl="5">
      <w:start w:val="1"/>
      <w:numFmt w:val="decimal"/>
      <w:lvlText w:val="%1.%2.%3.%4.%5.%6."/>
      <w:lvlJc w:val="left"/>
      <w:pPr>
        <w:ind w:left="2585" w:hanging="1440"/>
      </w:pPr>
    </w:lvl>
    <w:lvl w:ilvl="6">
      <w:start w:val="1"/>
      <w:numFmt w:val="decimal"/>
      <w:lvlText w:val="%1.%2.%3.%4.%5.%6.%7."/>
      <w:lvlJc w:val="left"/>
      <w:pPr>
        <w:ind w:left="3054" w:hanging="1800"/>
      </w:pPr>
    </w:lvl>
    <w:lvl w:ilvl="7">
      <w:start w:val="1"/>
      <w:numFmt w:val="decimal"/>
      <w:lvlText w:val="%1.%2.%3.%4.%5.%6.%7.%8."/>
      <w:lvlJc w:val="left"/>
      <w:pPr>
        <w:ind w:left="3163" w:hanging="1800"/>
      </w:pPr>
    </w:lvl>
    <w:lvl w:ilvl="8">
      <w:start w:val="1"/>
      <w:numFmt w:val="decimal"/>
      <w:lvlText w:val="%1.%2.%3.%4.%5.%6.%7.%8.%9."/>
      <w:lvlJc w:val="left"/>
      <w:pPr>
        <w:ind w:left="3632" w:hanging="2160"/>
      </w:pPr>
    </w:lvl>
  </w:abstractNum>
  <w:abstractNum w:abstractNumId="2">
    <w:lvl w:ilvl="0">
      <w:start w:val="1"/>
      <w:numFmt w:val="bullet"/>
      <w:suff w:val="space"/>
      <w:lvlText w:val="−"/>
      <w:lvlJc w:val="left"/>
      <w:pPr>
        <w:ind w:left="2836" w:firstLine="709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57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4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78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5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1002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Название Знак"/>
    <w:qFormat/>
    <w:rPr>
      <w:sz w:val="24"/>
    </w:rPr>
  </w:style>
  <w:style w:type="character" w:styleId="Style16">
    <w:name w:val="Верхний колонтитул Знак"/>
    <w:basedOn w:val="Style14"/>
    <w:qFormat/>
    <w:rPr/>
  </w:style>
  <w:style w:type="character" w:styleId="Style17">
    <w:name w:val="Нижний колонтитул Знак"/>
    <w:basedOn w:val="Style14"/>
    <w:qFormat/>
    <w:rPr/>
  </w:style>
  <w:style w:type="character" w:styleId="FontStyle15">
    <w:name w:val="Font Style15"/>
    <w:qFormat/>
    <w:rPr>
      <w:rFonts w:ascii="Times New Roman" w:hAnsi="Times New Roman" w:cs="Times New Roman"/>
      <w:b/>
      <w:bCs/>
      <w:sz w:val="24"/>
      <w:szCs w:val="24"/>
    </w:rPr>
  </w:style>
  <w:style w:type="character" w:styleId="FontStyle16">
    <w:name w:val="Font Style16"/>
    <w:qFormat/>
    <w:rPr>
      <w:rFonts w:ascii="Times New Roman" w:hAnsi="Times New Roman" w:cs="Times New Roman"/>
      <w:sz w:val="24"/>
      <w:szCs w:val="24"/>
    </w:rPr>
  </w:style>
  <w:style w:type="character" w:styleId="Style18">
    <w:name w:val="Основной текст_"/>
    <w:qFormat/>
    <w:rPr>
      <w:sz w:val="26"/>
      <w:szCs w:val="26"/>
      <w:highlight w:val="white"/>
    </w:rPr>
  </w:style>
  <w:style w:type="character" w:styleId="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4">
    <w:name w:val="Основной текст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Style19">
    <w:name w:val="Строгий"/>
    <w:qFormat/>
    <w:rPr>
      <w:b/>
      <w:bCs/>
    </w:rPr>
  </w:style>
  <w:style w:type="character" w:styleId="Appleconvertedspace">
    <w:name w:val="apple-converted-space"/>
    <w:qFormat/>
    <w:rPr/>
  </w:style>
  <w:style w:type="character" w:styleId="WWCharLFO6LVL1">
    <w:name w:val="WW_CharLFO6LVL1"/>
    <w:qFormat/>
    <w:rPr>
      <w:rFonts w:ascii="Times New Roman" w:hAnsi="Times New Roman" w:cs="Times New Roman"/>
    </w:rPr>
  </w:style>
  <w:style w:type="character" w:styleId="WWCharLFO7LVL1">
    <w:name w:val="WW_CharLFO7LVL1"/>
    <w:qFormat/>
    <w:rPr>
      <w:rFonts w:ascii="Times New Roman" w:hAnsi="Times New Roman" w:cs="Times New Roman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type="paragraph" w:styleId="Style20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2">
    <w:name w:val="Style2"/>
    <w:basedOn w:val="Style20"/>
    <w:qFormat/>
    <w:pPr>
      <w:suppressAutoHyphens w:val="true"/>
      <w:autoSpaceDE w:val="false"/>
      <w:jc w:val="center"/>
    </w:pPr>
    <w:rPr>
      <w:sz w:val="24"/>
      <w:szCs w:val="24"/>
    </w:rPr>
  </w:style>
  <w:style w:type="paragraph" w:styleId="Style23">
    <w:name w:val="Caption"/>
    <w:basedOn w:val="Style20"/>
    <w:qFormat/>
    <w:pPr>
      <w:widowControl/>
      <w:suppressAutoHyphens w:val="true"/>
      <w:overflowPunct w:val="false"/>
      <w:autoSpaceDE w:val="false"/>
      <w:ind w:left="0" w:right="0" w:firstLine="567"/>
      <w:jc w:val="center"/>
      <w:textAlignment w:val="baseline"/>
    </w:pPr>
    <w:rPr>
      <w:sz w:val="24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51">
    <w:name w:val="Style5"/>
    <w:basedOn w:val="Style20"/>
    <w:qFormat/>
    <w:pPr>
      <w:suppressAutoHyphens w:val="true"/>
      <w:autoSpaceDE w:val="false"/>
      <w:spacing w:lineRule="exact" w:line="307"/>
      <w:jc w:val="center"/>
    </w:pPr>
    <w:rPr>
      <w:sz w:val="24"/>
      <w:szCs w:val="24"/>
    </w:rPr>
  </w:style>
  <w:style w:type="paragraph" w:styleId="Style91">
    <w:name w:val="Style9"/>
    <w:basedOn w:val="Style20"/>
    <w:qFormat/>
    <w:pPr>
      <w:suppressAutoHyphens w:val="true"/>
      <w:autoSpaceDE w:val="false"/>
      <w:spacing w:lineRule="exact" w:line="309"/>
      <w:ind w:left="0" w:right="0" w:firstLine="682"/>
      <w:jc w:val="both"/>
    </w:pPr>
    <w:rPr>
      <w:sz w:val="24"/>
      <w:szCs w:val="24"/>
    </w:rPr>
  </w:style>
  <w:style w:type="paragraph" w:styleId="Style27">
    <w:name w:val="Абзац списка"/>
    <w:basedOn w:val="Style20"/>
    <w:qFormat/>
    <w:pPr>
      <w:widowControl/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8">
    <w:name w:val="Основной текст8"/>
    <w:basedOn w:val="Style20"/>
    <w:qFormat/>
    <w:pPr>
      <w:shd w:fill="FFFFFF" w:val="clear"/>
      <w:suppressAutoHyphens w:val="true"/>
      <w:spacing w:lineRule="exact" w:line="322"/>
      <w:jc w:val="center"/>
    </w:pPr>
    <w:rPr>
      <w:sz w:val="26"/>
      <w:szCs w:val="26"/>
    </w:rPr>
  </w:style>
  <w:style w:type="paragraph" w:styleId="Style28">
    <w:name w:val="Обычный (веб)"/>
    <w:basedOn w:val="Style20"/>
    <w:qFormat/>
    <w:pPr>
      <w:widowControl/>
      <w:suppressAutoHyphens w:val="true"/>
      <w:spacing w:before="100" w:after="100"/>
    </w:pPr>
    <w:rPr>
      <w:sz w:val="24"/>
      <w:szCs w:val="24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9</Pages>
  <Words>1746</Words>
  <CharactersWithSpaces>16143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2020-02-21T07:00:00Z</dcterms:created>
  <dc:creator>kamgo@gov66.ru</dc:creator>
  <dc:description/>
  <dc:language>ru-RU</dc:language>
  <cp:lastModifiedBy/>
  <cp:lastPrinted>2020-02-28T11:30:11Z</cp:lastPrinted>
  <dcterms:modified xsi:type="dcterms:W3CDTF">2020-02-28T11:31:14Z</dcterms:modified>
  <cp:revision>3</cp:revision>
  <dc:subject/>
  <dc:title> </dc:title>
</cp:coreProperties>
</file>