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pPr>
      <w:r>
        <w:rPr/>
      </w:r>
    </w:p>
    <w:p>
      <w:pPr>
        <w:pStyle w:val="ConsPlusTitle"/>
        <w:widowControl/>
        <w:ind w:left="0" w:right="0" w:hanging="57"/>
        <w:jc w:val="both"/>
        <w:rPr/>
      </w:pPr>
      <w:bookmarkStart w:id="0" w:name="__DdeLink__35369_2389077332"/>
      <w:bookmarkStart w:id="1" w:name="_GoBack"/>
      <w:bookmarkEnd w:id="1"/>
      <w:r>
        <w:rPr>
          <w:rFonts w:cs="Liberation Serif" w:ascii="Liberation Serif" w:hAnsi="Liberation Serif"/>
          <w:b/>
          <w:iCs/>
          <w:sz w:val="28"/>
          <w:szCs w:val="28"/>
        </w:rPr>
        <w:t xml:space="preserve">от 26.11.2019  N </w:t>
      </w:r>
      <w:bookmarkEnd w:id="0"/>
      <w:r>
        <w:rPr>
          <w:rFonts w:cs="Liberation Serif" w:ascii="Liberation Serif" w:hAnsi="Liberation Serif"/>
          <w:b/>
          <w:iCs/>
          <w:sz w:val="28"/>
          <w:szCs w:val="28"/>
        </w:rPr>
        <w:t>1038</w:t>
      </w:r>
    </w:p>
    <w:p>
      <w:pPr>
        <w:pStyle w:val="ConsPlusTitle"/>
        <w:widowControl/>
        <w:ind w:firstLine="709"/>
        <w:jc w:val="both"/>
        <w:rPr>
          <w:rFonts w:ascii="Liberation Serif" w:hAnsi="Liberation Serif" w:cs="Liberation Serif"/>
          <w:b/>
          <w:b/>
          <w:iCs/>
          <w:sz w:val="28"/>
          <w:szCs w:val="28"/>
        </w:rPr>
      </w:pPr>
      <w:r>
        <w:rPr>
          <w:rFonts w:cs="Liberation Serif" w:ascii="Liberation Serif" w:hAnsi="Liberation Serif"/>
          <w:b/>
          <w:iCs/>
          <w:sz w:val="28"/>
          <w:szCs w:val="28"/>
        </w:rPr>
      </w:r>
    </w:p>
    <w:p>
      <w:pPr>
        <w:pStyle w:val="ConsPlusTitle"/>
        <w:widowControl/>
        <w:ind w:firstLine="709"/>
        <w:jc w:val="both"/>
        <w:rPr>
          <w:rFonts w:ascii="Liberation Serif" w:hAnsi="Liberation Serif" w:cs="Liberation Serif"/>
          <w:b/>
          <w:b/>
          <w:iCs/>
          <w:sz w:val="28"/>
          <w:szCs w:val="28"/>
        </w:rPr>
      </w:pPr>
      <w:r>
        <w:rPr>
          <w:rFonts w:cs="Liberation Serif" w:ascii="Liberation Serif" w:hAnsi="Liberation Serif"/>
          <w:b/>
          <w:iCs/>
          <w:sz w:val="28"/>
          <w:szCs w:val="28"/>
        </w:rPr>
      </w:r>
    </w:p>
    <w:p>
      <w:pPr>
        <w:pStyle w:val="ConsPlusTitle"/>
        <w:widowControl/>
        <w:ind w:firstLine="709"/>
        <w:jc w:val="center"/>
        <w:rPr/>
      </w:pPr>
      <w:r>
        <w:rPr>
          <w:rFonts w:cs="Liberation Serif" w:ascii="Liberation Serif" w:hAnsi="Liberation Serif"/>
          <w:iCs/>
        </w:rPr>
        <w:t xml:space="preserve">О внесении изменений в постановление главы Камышловского городского округа от 03.08.2010 г. № 1307 «О системах  оплаты труда работников муниципальных бюджетных, автономных и казенных  учреждений Камышловского городского округа» </w:t>
      </w:r>
    </w:p>
    <w:p>
      <w:pPr>
        <w:pStyle w:val="ConsPlusTitle"/>
        <w:widowControl/>
        <w:ind w:firstLine="709"/>
        <w:jc w:val="both"/>
        <w:rPr>
          <w:rFonts w:ascii="Liberation Serif" w:hAnsi="Liberation Serif" w:cs="Liberation Serif"/>
          <w:b w:val="false"/>
          <w:b w:val="false"/>
          <w:bCs w:val="false"/>
          <w:iCs/>
        </w:rPr>
      </w:pPr>
      <w:r>
        <w:rPr>
          <w:rFonts w:cs="Liberation Serif" w:ascii="Liberation Serif" w:hAnsi="Liberation Serif"/>
          <w:b w:val="false"/>
          <w:bCs w:val="false"/>
          <w:iCs/>
        </w:rPr>
      </w:r>
    </w:p>
    <w:p>
      <w:pPr>
        <w:pStyle w:val="ConsPlusTitle"/>
        <w:widowControl/>
        <w:ind w:firstLine="709"/>
        <w:jc w:val="both"/>
        <w:rPr>
          <w:rFonts w:ascii="Liberation Serif" w:hAnsi="Liberation Serif" w:cs="Liberation Serif"/>
          <w:b w:val="false"/>
          <w:b w:val="false"/>
          <w:bCs w:val="false"/>
          <w:iCs/>
        </w:rPr>
      </w:pPr>
      <w:r>
        <w:rPr>
          <w:rFonts w:cs="Liberation Serif" w:ascii="Liberation Serif" w:hAnsi="Liberation Serif"/>
          <w:b w:val="false"/>
          <w:bCs w:val="false"/>
          <w:iCs/>
        </w:rPr>
      </w:r>
    </w:p>
    <w:p>
      <w:pPr>
        <w:pStyle w:val="Normal"/>
        <w:ind w:firstLine="709"/>
        <w:jc w:val="both"/>
        <w:rPr/>
      </w:pPr>
      <w:r>
        <w:rPr>
          <w:rFonts w:cs="Liberation Serif" w:ascii="Liberation Serif" w:hAnsi="Liberation Serif"/>
          <w:sz w:val="28"/>
          <w:szCs w:val="28"/>
        </w:rPr>
        <w:t xml:space="preserve">В соответствии с Трудовым кодексом Российской Федерации, руководствуясь Постановлением Правительства Свердловской области от 06.02.2009 года № 145-ПП «О системах оплаты труда работников государственных бюджетных, автономных и казенных учреждений Свердловской области» (в редакции Постановлений Правительства Свердловской области от 15.10.2009 № 1301-ПП, от 13.07.2010 №1070-ПП, от 16.08.2011 № 1074-ПП, от 12.11.2014 № 980-ПП, 31.07.2015 № 694-ПП, от 28.09.2016 № 695-ПП, от 22.06.2017 №458-ПП, от 03.10.2019 № 654-ПП), в   целях реализации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Камышловского городского округа </w:t>
      </w:r>
    </w:p>
    <w:p>
      <w:pPr>
        <w:pStyle w:val="Normal"/>
        <w:widowControl/>
        <w:bidi w:val="0"/>
        <w:ind w:left="0" w:right="0" w:hanging="0"/>
        <w:jc w:val="both"/>
        <w:rPr/>
      </w:pPr>
      <w:r>
        <w:rPr>
          <w:rFonts w:cs="Liberation Serif" w:ascii="Liberation Serif" w:hAnsi="Liberation Serif"/>
          <w:b/>
          <w:bCs/>
          <w:sz w:val="28"/>
          <w:szCs w:val="28"/>
        </w:rPr>
        <w:t>ПОСТАНОВЛЯЕТ:</w:t>
      </w:r>
    </w:p>
    <w:p>
      <w:pPr>
        <w:pStyle w:val="Normal"/>
        <w:numPr>
          <w:ilvl w:val="0"/>
          <w:numId w:val="1"/>
        </w:numPr>
        <w:ind w:left="0" w:firstLine="709"/>
        <w:jc w:val="both"/>
        <w:rPr/>
      </w:pPr>
      <w:r>
        <w:rPr>
          <w:rFonts w:cs="Liberation Serif" w:ascii="Liberation Serif" w:hAnsi="Liberation Serif"/>
          <w:sz w:val="28"/>
          <w:szCs w:val="28"/>
        </w:rPr>
        <w:t>Внести в Положение о системах оплаты труда работников муниципальных бюджетных, автономных и казенных учреждений Камышловского городского округа, утвержденное постановлением главы Камышловского городского округа от 03.08.2010 г. № 1307 следующие изменения:</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1) дополнить пунктами 2-1 и 2-2 следующего содержания:</w:t>
      </w:r>
    </w:p>
    <w:p>
      <w:pPr>
        <w:pStyle w:val="Normal"/>
        <w:ind w:firstLine="709"/>
        <w:jc w:val="both"/>
        <w:rPr/>
      </w:pPr>
      <w:r>
        <w:rPr>
          <w:rFonts w:cs="Liberation Serif" w:ascii="Liberation Serif" w:hAnsi="Liberation Serif"/>
          <w:sz w:val="28"/>
          <w:szCs w:val="28"/>
        </w:rPr>
        <w:t>«2-1. При утверждении примерных положений об оплате труда работников муниципальных учреждений Камышловского городского округа по видам экономической деятельности в отношении учреждений, осуществляющих исполнение функций органов местного самоуправления, наделенных полномочиями по осуществлению функций органов местного самоуправления, возложенных на орган местного самоуправления Камышловского городского округа, являющийся главным распорядителем средств местного бюджета, или осуществляющий функции и полномочия учредителя муниципальных бюджетных и автономных учреждений Камышловского городского округа (далее-главный распорядитель бюджетных средств или учредитель муниципальных учреждений), а также обеспечивающих деятельность органа местного самоуправления Камышловского городского округа (административно-хозяйственное, информационно-техническое и кадровое обеспечение, делопроизводство, бухгалтерский учет и отчетность), предусматривается условие о непревышении расчетного среднемесячного уровня заработной платы работников указанных муниципальных учреждений Камышловского городского округа над расчетным среднемесячным уровнем оплаты труда муниципальных служащих, работников замещающих должности, не являющими должностями муниципальной службы Камышловского городского округа, и работников, осуществляющих профессиональную деятельность по профессиям рабочих(далее- работники), органа местного самоуправления Камышловского городского округа, которому подведомственны указанные учреждения.</w:t>
      </w:r>
    </w:p>
    <w:p>
      <w:pPr>
        <w:pStyle w:val="Normal"/>
        <w:ind w:firstLine="709"/>
        <w:jc w:val="both"/>
        <w:rPr/>
      </w:pPr>
      <w:r>
        <w:rPr>
          <w:rFonts w:cs="Liberation Serif" w:ascii="Liberation Serif" w:hAnsi="Liberation Serif"/>
          <w:sz w:val="28"/>
          <w:szCs w:val="28"/>
        </w:rPr>
        <w:t>2-2. Расчетный среднемесячный уровень оплаты труда муниципальных служащих и работников органа местного самоуправления Камышловского городского округа определяется главным распорядителем бюджетных средств или учредителем муниципальных учреждений путем деления установленного объема бюджетных ассигнований на оплату труда муниципальных служащих и  работников главных распорядителей бюджетных средств или учредителей муниципальных учреждений (без учета объема бюджетных ассигнований, предусматриваемых на финансовое обеспечение расходов, связанных с выплатой районнных коэффициентов) на установленную численность муниципальных служащих и работников главных распорядителей бюджетных средств или учредителей муниципальных учреждений и деления полученного результата на 12(количество месяцев в году) и доводится главным распорядителем бюджетных средств или учредителей муниципальных учреждений  до руководителей подведомственных учреждений, указанных в части первой пункта 2-1 настоящего положения.</w:t>
      </w:r>
    </w:p>
    <w:p>
      <w:pPr>
        <w:pStyle w:val="Normal"/>
        <w:ind w:firstLine="709"/>
        <w:jc w:val="both"/>
        <w:rPr/>
      </w:pPr>
      <w:r>
        <w:rPr>
          <w:rFonts w:cs="Liberation Serif" w:ascii="Liberation Serif" w:hAnsi="Liberation Serif"/>
          <w:sz w:val="28"/>
          <w:szCs w:val="28"/>
        </w:rPr>
        <w:t xml:space="preserve">Расчетный среднемесячный уровень заработной платы работников подведомственных муниципальных учреждений, указанных в части первой пункта 2-1 настоящего положения, определяется путем деления установленного объема бюджетных ассигнований на оплату труда работников подведомственного муниципального учреждения (без учета объема бюджетных ассигнований, предусматриваемых на финансовое обеспечение расходов, связанных с выплатой районных коэффициентов) на численность работников подведомственного муниципального учреждения в соответствии с утвержденным штатным расписанием и деления полученного результата на 12 (количество месяцев в году).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2)пункт 3 изложить в следующей редакции:</w:t>
      </w:r>
    </w:p>
    <w:p>
      <w:pPr>
        <w:pStyle w:val="Normal"/>
        <w:ind w:firstLine="709"/>
        <w:jc w:val="both"/>
        <w:rPr/>
      </w:pPr>
      <w:r>
        <w:rPr>
          <w:rFonts w:cs="Liberation Serif" w:ascii="Liberation Serif" w:hAnsi="Liberation Serif"/>
          <w:sz w:val="28"/>
          <w:szCs w:val="28"/>
        </w:rPr>
        <w:t xml:space="preserve">«3.  Размеры окладов (должностных окладов), ставок заработной платы работников муниципальных учреждений устанавливаются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в соответствии с примерным положением об оплате труда работников муниципальных учреждений соответствующей отрасли, утвержденные главой Камышловского городского округа». </w:t>
      </w:r>
    </w:p>
    <w:p>
      <w:pPr>
        <w:pStyle w:val="Normal"/>
        <w:ind w:firstLine="709"/>
        <w:jc w:val="both"/>
        <w:rPr/>
      </w:pPr>
      <w:r>
        <w:rPr>
          <w:rFonts w:cs="Liberation Serif" w:ascii="Liberation Serif" w:hAnsi="Liberation Serif"/>
          <w:sz w:val="28"/>
          <w:szCs w:val="28"/>
        </w:rPr>
        <w:t>3)пункт 7 изложить в следующей редакции:</w:t>
      </w:r>
    </w:p>
    <w:p>
      <w:pPr>
        <w:pStyle w:val="Normal"/>
        <w:tabs>
          <w:tab w:val="clear" w:pos="708"/>
          <w:tab w:val="left" w:pos="0" w:leader="none"/>
        </w:tabs>
        <w:ind w:firstLine="709"/>
        <w:jc w:val="both"/>
        <w:rPr/>
      </w:pPr>
      <w:r>
        <w:rPr>
          <w:rFonts w:cs="Liberation Serif" w:ascii="Liberation Serif" w:hAnsi="Liberation Serif"/>
          <w:sz w:val="28"/>
          <w:szCs w:val="28"/>
        </w:rPr>
        <w:t>«7.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Размер должностного оклада руководителя муниципального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 в соответствии с системой критериев для дифференцированного установления оклада руководителям муниципальных учреждений.</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Система критериев для дифференцированного установления оклада руководителям муниципальных учреждений утверждается главным распорядителем бюджетных средств или учредителем муниципальных учреждений.</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исчисления средней заработной платы».</w:t>
      </w:r>
    </w:p>
    <w:p>
      <w:pPr>
        <w:pStyle w:val="Normal"/>
        <w:ind w:firstLine="709"/>
        <w:jc w:val="both"/>
        <w:rPr/>
      </w:pPr>
      <w:r>
        <w:rPr>
          <w:rFonts w:cs="Liberation Serif" w:ascii="Liberation Serif" w:hAnsi="Liberation Serif"/>
          <w:sz w:val="28"/>
          <w:szCs w:val="28"/>
        </w:rPr>
        <w:t xml:space="preserve">При установлении условий оплаты труда руководителю муниципального учреждения главный распорядитель бюджетных средств или учредитель муниципальных учреждений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частью шестой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 </w:t>
      </w:r>
    </w:p>
    <w:p>
      <w:pPr>
        <w:pStyle w:val="Normal"/>
        <w:ind w:firstLine="709"/>
        <w:jc w:val="both"/>
        <w:rPr/>
      </w:pPr>
      <w:r>
        <w:rPr>
          <w:rFonts w:cs="Liberation Serif" w:ascii="Liberation Serif" w:hAnsi="Liberation Serif"/>
          <w:sz w:val="28"/>
          <w:szCs w:val="28"/>
        </w:rPr>
        <w:t>Предельный уровень соотношения среднемесячной заработной платы руководителей, заместителей руководителей и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главным распорядителем бюджетных средств или учредителем муниципальных учреждений, в кратности от 1 до 6.</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учреждений. Другие условия оплаты труда указанных работников устанавливаются коллективными договорами, локальными актами учреждений, трудовыми договорами.</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Порядок размещения информации о расчитываемой за календарный год среднемесячной заработной плате руководителей, заместителей руководителей и главных бухгалтеров муниципальных учреждений и представления указанными лицами данной информации устанавливается главой Камышловского городского округа.</w:t>
      </w:r>
    </w:p>
    <w:p>
      <w:pPr>
        <w:pStyle w:val="Normal"/>
        <w:tabs>
          <w:tab w:val="clear" w:pos="708"/>
          <w:tab w:val="left" w:pos="142" w:leader="none"/>
          <w:tab w:val="left" w:pos="709" w:leader="none"/>
          <w:tab w:val="left" w:pos="851" w:leader="none"/>
          <w:tab w:val="left" w:pos="1134" w:leader="none"/>
        </w:tabs>
        <w:ind w:firstLine="709"/>
        <w:jc w:val="both"/>
        <w:rPr/>
      </w:pPr>
      <w:r>
        <w:rPr>
          <w:rFonts w:cs="Liberation Serif" w:ascii="Liberation Serif" w:hAnsi="Liberation Serif"/>
          <w:sz w:val="28"/>
          <w:szCs w:val="28"/>
        </w:rPr>
        <w:t>2. Разместить настоящее постановление на официальном сайте Камышловского городского округа в информационно-телекоммуникационной сети Интернет</w:t>
      </w:r>
      <w:r>
        <w:rPr>
          <w:sz w:val="28"/>
          <w:szCs w:val="28"/>
        </w:rPr>
        <w:t xml:space="preserve"> (</w:t>
      </w:r>
      <w:r>
        <w:rPr>
          <w:sz w:val="28"/>
          <w:szCs w:val="28"/>
          <w:lang w:val="en-US"/>
        </w:rPr>
        <w:t>www</w:t>
      </w:r>
      <w:r>
        <w:rPr>
          <w:sz w:val="28"/>
          <w:szCs w:val="28"/>
        </w:rPr>
        <w:t>.</w:t>
      </w:r>
      <w:r>
        <w:rPr>
          <w:sz w:val="28"/>
          <w:szCs w:val="28"/>
          <w:lang w:val="en-US"/>
        </w:rPr>
        <w:t>gorod</w:t>
      </w:r>
      <w:r>
        <w:rPr>
          <w:sz w:val="28"/>
          <w:szCs w:val="28"/>
        </w:rPr>
        <w:t>-</w:t>
      </w:r>
      <w:r>
        <w:rPr>
          <w:sz w:val="28"/>
          <w:szCs w:val="28"/>
          <w:lang w:val="en-US"/>
        </w:rPr>
        <w:t>kamyshlov</w:t>
      </w:r>
      <w:r>
        <w:rPr>
          <w:sz w:val="28"/>
          <w:szCs w:val="28"/>
        </w:rPr>
        <w:t>.</w:t>
      </w:r>
      <w:r>
        <w:rPr>
          <w:sz w:val="28"/>
          <w:szCs w:val="28"/>
          <w:lang w:val="en-US"/>
        </w:rPr>
        <w:t>ru</w:t>
      </w:r>
      <w:r>
        <w:rPr>
          <w:sz w:val="28"/>
          <w:szCs w:val="28"/>
        </w:rPr>
        <w:t>).</w:t>
      </w:r>
    </w:p>
    <w:p>
      <w:pPr>
        <w:pStyle w:val="Normal"/>
        <w:tabs>
          <w:tab w:val="clear" w:pos="708"/>
          <w:tab w:val="left" w:pos="240" w:leader="none"/>
        </w:tabs>
        <w:ind w:firstLine="709"/>
        <w:jc w:val="both"/>
        <w:rPr>
          <w:rFonts w:ascii="Liberation Serif" w:hAnsi="Liberation Serif" w:cs="Liberation Serif"/>
          <w:sz w:val="28"/>
          <w:szCs w:val="28"/>
        </w:rPr>
      </w:pPr>
      <w:r>
        <w:rPr>
          <w:rFonts w:cs="Liberation Serif" w:ascii="Liberation Serif" w:hAnsi="Liberation Serif"/>
          <w:sz w:val="28"/>
          <w:szCs w:val="28"/>
        </w:rPr>
        <w:t>3. Контроль за исполнением настоящего постановления оставляю за собой.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8"/>
          <w:szCs w:val="28"/>
        </w:rPr>
      </w:pPr>
      <w:r>
        <w:rPr>
          <w:rFonts w:cs="Liberation Serif" w:ascii="Liberation Serif" w:hAnsi="Liberation Serif"/>
          <w:sz w:val="28"/>
          <w:szCs w:val="28"/>
        </w:rPr>
        <w:t xml:space="preserve">Глава    </w:t>
      </w:r>
    </w:p>
    <w:p>
      <w:pPr>
        <w:pStyle w:val="Normal"/>
        <w:rPr>
          <w:rFonts w:ascii="Liberation Serif" w:hAnsi="Liberation Serif" w:cs="Liberation Serif"/>
          <w:sz w:val="28"/>
          <w:szCs w:val="28"/>
        </w:rPr>
      </w:pPr>
      <w:r>
        <w:rPr>
          <w:rFonts w:cs="Liberation Serif" w:ascii="Liberation Serif" w:hAnsi="Liberation Serif"/>
          <w:sz w:val="28"/>
          <w:szCs w:val="28"/>
        </w:rPr>
        <w:t xml:space="preserve">Камышловского городского округа                                               А.В. Половников                                      </w:t>
      </w:r>
    </w:p>
    <w:p>
      <w:pPr>
        <w:pStyle w:val="Normal"/>
        <w:rPr>
          <w:rFonts w:ascii="Liberation Serif" w:hAnsi="Liberation Serif" w:cs="Liberation Serif"/>
        </w:rPr>
      </w:pPr>
      <w:r>
        <w:rPr>
          <w:rFonts w:cs="Liberation Serif" w:ascii="Liberation Serif" w:hAnsi="Liberation Serif"/>
        </w:rPr>
      </w:r>
    </w:p>
    <w:p>
      <w:pPr>
        <w:pStyle w:val="Normal"/>
        <w:widowControl w:val="false"/>
        <w:numPr>
          <w:ilvl w:val="0"/>
          <w:numId w:val="0"/>
        </w:numPr>
        <w:jc w:val="right"/>
        <w:outlineLvl w:val="0"/>
        <w:rPr/>
      </w:pPr>
      <w:r>
        <w:rPr/>
      </w:r>
    </w:p>
    <w:sectPr>
      <w:headerReference w:type="default" r:id="rId3"/>
      <w:type w:val="nextPage"/>
      <w:pgSz w:w="11906" w:h="16838"/>
      <w:pgMar w:left="1701" w:right="567" w:header="1134" w:top="1693"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4">
    <w:name w:val="Основной шрифт абзаца"/>
    <w:qFormat/>
    <w:rPr/>
  </w:style>
  <w:style w:type="character" w:styleId="Style15">
    <w:name w:val="Верхний колонтитул Знак"/>
    <w:basedOn w:val="Style14"/>
    <w:qFormat/>
    <w:rPr>
      <w:sz w:val="24"/>
      <w:szCs w:val="24"/>
    </w:rPr>
  </w:style>
  <w:style w:type="character" w:styleId="Style16">
    <w:name w:val="Нижний колонтитул Знак"/>
    <w:basedOn w:val="Style14"/>
    <w:qFormat/>
    <w:rPr>
      <w:sz w:val="24"/>
      <w:szCs w:val="24"/>
    </w:rPr>
  </w:style>
  <w:style w:type="character" w:styleId="Style17">
    <w:name w:val="Нумерация строк"/>
    <w:basedOn w:val="Style14"/>
    <w:rPr/>
  </w:style>
  <w:style w:type="character" w:styleId="ListLabel1">
    <w:name w:val="ListLabel 1"/>
    <w:qFormat/>
    <w:rPr>
      <w:rFonts w:cs="Liberation Seri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Title">
    <w:name w:val="ConsPlusTitle"/>
    <w:qFormat/>
    <w:pPr>
      <w:widowControl w:val="false"/>
      <w:bidi w:val="0"/>
      <w:jc w:val="left"/>
    </w:pPr>
    <w:rPr>
      <w:rFonts w:ascii="Times New Roman" w:hAnsi="Times New Roman" w:eastAsia="Times New Roman" w:cs="Times New Roman"/>
      <w:b/>
      <w:bCs/>
      <w:color w:val="auto"/>
      <w:kern w:val="0"/>
      <w:sz w:val="28"/>
      <w:szCs w:val="28"/>
      <w:lang w:val="ru-RU" w:eastAsia="zh-CN" w:bidi="ar-SA"/>
    </w:rPr>
  </w:style>
  <w:style w:type="paragraph" w:styleId="Style23">
    <w:name w:val="Знак Знак"/>
    <w:basedOn w:val="Normal"/>
    <w:qFormat/>
    <w:pPr/>
    <w:rPr>
      <w:rFonts w:ascii="Verdana" w:hAnsi="Verdana" w:cs="Verdana"/>
      <w:sz w:val="20"/>
      <w:szCs w:val="20"/>
      <w:lang w:val="en-US"/>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ConsPlusCell">
    <w:name w:val="ConsPlusCell"/>
    <w:qFormat/>
    <w:pPr>
      <w:widowControl w:val="false"/>
      <w:bidi w:val="0"/>
      <w:jc w:val="left"/>
    </w:pPr>
    <w:rPr>
      <w:rFonts w:ascii="Times New Roman" w:hAnsi="Times New Roman" w:eastAsia="Times New Roman" w:cs="Times New Roman"/>
      <w:color w:val="auto"/>
      <w:kern w:val="0"/>
      <w:sz w:val="24"/>
      <w:szCs w:val="24"/>
      <w:lang w:val="ru-RU" w:eastAsia="zh-CN" w:bidi="ar-SA"/>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LibreOffice/6.1.4.2$Windows_X86_64 LibreOffice_project/9d0f32d1f0b509096fd65e0d4bec26ddd1938fd3</Application>
  <Pages>4</Pages>
  <Words>953</Words>
  <Characters>7841</Characters>
  <CharactersWithSpaces>8872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2019-11-21T13:07:00Z</dcterms:created>
  <dc:creator>Меньшенина Татьяна Борисовна</dc:creator>
  <dc:description/>
  <dc:language>ru-RU</dc:language>
  <cp:lastModifiedBy/>
  <cp:lastPrinted>2019-11-26T17:32:02Z</cp:lastPrinted>
  <dcterms:modified xsi:type="dcterms:W3CDTF">2019-11-26T17:32:25Z</dcterms:modified>
  <cp:revision>6</cp:revision>
  <dc:subject/>
  <dc:title> </dc:title>
</cp:coreProperties>
</file>