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ind w:left="0" w:right="0" w:hanging="0"/>
        <w:jc w:val="center"/>
        <w:rPr/>
      </w:pP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Style w:val="Style14"/>
          <w:rFonts w:eastAsia="Calibri"/>
          <w:b/>
          <w:sz w:val="28"/>
          <w:szCs w:val="28"/>
          <w:lang w:eastAsia="en-US"/>
        </w:rPr>
        <w:drawing>
          <wp:inline distT="0" distB="0" distL="0" distR="0">
            <wp:extent cx="485140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4" t="-287" r="-444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7"/>
        <w:numPr>
          <w:ilvl w:val="0"/>
          <w:numId w:val="1"/>
        </w:numPr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17"/>
        <w:suppressAutoHyphens w:val="true"/>
        <w:ind w:left="0" w:right="0" w:hanging="0"/>
        <w:jc w:val="both"/>
        <w:rPr/>
      </w:pPr>
      <w:r>
        <w:rPr>
          <w:rStyle w:val="Style14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от 17.02.2021  № 1</w:t>
      </w:r>
      <w:r>
        <w:rPr>
          <w:rStyle w:val="Style14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2</w:t>
      </w:r>
      <w:r>
        <w:rPr>
          <w:rStyle w:val="Style14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1</w:t>
      </w:r>
    </w:p>
    <w:p>
      <w:pPr>
        <w:pStyle w:val="Style17"/>
        <w:ind w:left="0" w:right="0" w:firstLine="567"/>
        <w:jc w:val="center"/>
        <w:rPr/>
      </w:pPr>
      <w:r>
        <w:rPr>
          <w:rStyle w:val="Style14"/>
          <w:rFonts w:eastAsia="Calibri"/>
          <w:b/>
          <w:sz w:val="28"/>
          <w:szCs w:val="28"/>
          <w:lang w:eastAsia="en-US"/>
        </w:rPr>
        <w:t>О</w:t>
      </w:r>
      <w:r>
        <w:rPr>
          <w:rStyle w:val="Style14"/>
          <w:rFonts w:eastAsia="Arial Unicode MS" w:cs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 xml:space="preserve"> </w:t>
      </w:r>
      <w:r>
        <w:rPr>
          <w:rStyle w:val="Style14"/>
          <w:rFonts w:eastAsia="Calibri"/>
          <w:b/>
          <w:sz w:val="28"/>
          <w:szCs w:val="28"/>
          <w:lang w:eastAsia="en-US"/>
        </w:rPr>
        <w:t>внесении изменений в Положение о размещении нестационарных торговых объектов на</w:t>
      </w:r>
      <w:r>
        <w:rPr>
          <w:rStyle w:val="Style14"/>
          <w:rFonts w:eastAsia="Calibri"/>
          <w:sz w:val="28"/>
          <w:szCs w:val="28"/>
          <w:lang w:eastAsia="en-US"/>
        </w:rPr>
        <w:t xml:space="preserve"> </w:t>
      </w:r>
      <w:r>
        <w:rPr>
          <w:rStyle w:val="Style14"/>
          <w:rFonts w:eastAsia="Calibri"/>
          <w:b/>
          <w:sz w:val="28"/>
          <w:szCs w:val="28"/>
          <w:lang w:eastAsia="en-US"/>
        </w:rPr>
        <w:t>территории Камышловского городского округа, утвержденное постановлением администрации Камышловского городского округа от 13.06.2019 года №539 (в редакции от 23.09.2019 года №817, от 23.03.2020 года №196)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sz w:val="28"/>
          <w:szCs w:val="28"/>
        </w:rPr>
        <w:t xml:space="preserve">На основании </w:t>
      </w:r>
      <w:r>
        <w:rPr>
          <w:rStyle w:val="Style14"/>
          <w:rFonts w:cs="Liberation Serif"/>
          <w:sz w:val="28"/>
          <w:szCs w:val="28"/>
        </w:rPr>
        <w:t xml:space="preserve">Приказа Министерства по управлению государственным имуществом Свердловской области от 08.10.2020 N 3333 «Об утверждении результатов определения кадастровой стоимости земельных участков, расположенных на территории Свердловской области», в соответствии с </w:t>
      </w:r>
      <w:r>
        <w:rPr>
          <w:rStyle w:val="Style14"/>
          <w:sz w:val="28"/>
          <w:szCs w:val="28"/>
        </w:rPr>
        <w:t>Постановлением Правительства Свердловской области от 14.03.2019 года №164-ПП «Об утверждении Порядка размещения нестационарных торговых объектов на территории Свердловской области», в целях приведения нормативного правового акта в соответствие с требованиями действующего законодательства, администрация Камышловского городского округа</w:t>
      </w:r>
    </w:p>
    <w:p>
      <w:pPr>
        <w:pStyle w:val="Style17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4"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>
      <w:pPr>
        <w:pStyle w:val="Style21"/>
        <w:numPr>
          <w:ilvl w:val="0"/>
          <w:numId w:val="2"/>
        </w:numPr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sz w:val="28"/>
          <w:szCs w:val="28"/>
        </w:rPr>
        <w:t xml:space="preserve">Внести в Положение о размещении нестационарных торговых объектов на территории Камышловского городского округа, утвержденное постановлением администрации Камышловского городского округа от 13.06.2019 года №539 </w:t>
      </w:r>
      <w:r>
        <w:rPr>
          <w:rStyle w:val="Style14"/>
          <w:rFonts w:eastAsia="Calibri"/>
          <w:sz w:val="28"/>
          <w:szCs w:val="28"/>
          <w:lang w:eastAsia="en-US"/>
        </w:rPr>
        <w:t>(в редакции от 23.09.2019 года №817, от 23.03.2020 года №196)</w:t>
      </w:r>
      <w:r>
        <w:rPr>
          <w:rStyle w:val="Style14"/>
          <w:sz w:val="28"/>
          <w:szCs w:val="28"/>
        </w:rPr>
        <w:t xml:space="preserve"> следующие изменения:</w:t>
      </w:r>
    </w:p>
    <w:p>
      <w:pPr>
        <w:pStyle w:val="ConsPlusNormal"/>
        <w:widowControl w:val="false"/>
        <w:suppressAutoHyphens w:val="fals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1) пункт 51 читать в следующей редакции: «51. Размер платы за размещение НТО подлежит пересмотру в случае изменения среднего уровня кадастровой стоимости земельных участков, утвержденного на территории Камышловского городского округа.</w:t>
      </w:r>
    </w:p>
    <w:p>
      <w:pPr>
        <w:pStyle w:val="ConsPlusNormal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Изменения платы за размещение НТО подлежат применению с 1 января года, в котором произошли изменения.»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2) пункт 52 читать в следующей редакции: «52. Действие договора прекращается досрочно в следующих случаях: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а) подачи хозяйствующим субъектом соответствующего заявления;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б) по соглашению сторон в связи с прекращением хозяйствующим субъектом своей деятельности в установленном законом порядке;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в) исключение сведений об индивидуальном предпринимателе из единого государственного реестра индивидуальных предпринимателей, в связи с прекращением гражданином деятельности в качестве индивидуального предпринимателя в установленном законом порядке;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г) неисполнение лицом, с которым заключен Договор, обязательств по размещению (установке) нестационарного торгового объекта в соответствии с условиями и в сроки, установленные Договором.»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4"/>
          <w:sz w:val="28"/>
          <w:szCs w:val="28"/>
        </w:rPr>
        <w:t>3) приложение №1 «Методика расчета платы за размещение нестационарных торговых объектов на территории Камышловского городского округа»</w:t>
      </w:r>
      <w:r>
        <w:rPr>
          <w:rStyle w:val="Style14"/>
          <w:rFonts w:cs="Times New Roman"/>
          <w:sz w:val="28"/>
          <w:szCs w:val="28"/>
        </w:rPr>
        <w:t xml:space="preserve"> </w:t>
      </w:r>
      <w:r>
        <w:rPr>
          <w:rStyle w:val="Style14"/>
          <w:sz w:val="28"/>
          <w:szCs w:val="28"/>
        </w:rPr>
        <w:t>читать в следующей редакции (прилагается).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/>
      </w:pPr>
      <w:r>
        <w:rPr>
          <w:rStyle w:val="Style14"/>
          <w:sz w:val="28"/>
          <w:szCs w:val="28"/>
        </w:rPr>
        <w:t>4)</w:t>
      </w:r>
      <w:r>
        <w:rPr>
          <w:rStyle w:val="Style14"/>
          <w:rFonts w:cs="Times New Roman"/>
          <w:sz w:val="28"/>
          <w:szCs w:val="28"/>
        </w:rPr>
        <w:t xml:space="preserve"> </w:t>
      </w:r>
      <w:r>
        <w:rPr>
          <w:rStyle w:val="Style14"/>
          <w:sz w:val="28"/>
          <w:szCs w:val="28"/>
        </w:rPr>
        <w:t>в абзаце втором подпункта 2 пункта 48 слова «1 год» заменить словами «три года».</w:t>
      </w:r>
    </w:p>
    <w:p>
      <w:pPr>
        <w:pStyle w:val="Style21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«Камышловские известия» и разместить на официальном сайте Камышловского городского округа в сети Интернет.</w:t>
      </w:r>
    </w:p>
    <w:p>
      <w:pPr>
        <w:pStyle w:val="Style21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>
      <w:pPr>
        <w:pStyle w:val="Style17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7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Style w:val="Style14"/>
          <w:rFonts w:ascii="Liberation Serif" w:hAnsi="Liberation Serif" w:cs="Times New Roman"/>
        </w:rPr>
      </w:pPr>
      <w:r>
        <w:rPr>
          <w:sz w:val="28"/>
          <w:szCs w:val="28"/>
        </w:rPr>
      </w:r>
    </w:p>
    <w:p>
      <w:pPr>
        <w:pStyle w:val="Style17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Style w:val="Style14"/>
          <w:rFonts w:ascii="Liberation Serif" w:hAnsi="Liberation Serif" w:cs="Times New Roman"/>
        </w:rPr>
      </w:pPr>
      <w:r>
        <w:rPr>
          <w:sz w:val="28"/>
          <w:szCs w:val="28"/>
        </w:rPr>
      </w:r>
    </w:p>
    <w:p>
      <w:pPr>
        <w:pStyle w:val="Style17"/>
        <w:widowControl w:val="false"/>
        <w:suppressAutoHyphens w:val="tru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4"/>
          <w:rFonts w:cs="Times New Roman"/>
          <w:sz w:val="28"/>
          <w:szCs w:val="28"/>
        </w:rPr>
        <w:t xml:space="preserve">Глава </w:t>
      </w:r>
    </w:p>
    <w:p>
      <w:pPr>
        <w:pStyle w:val="Style17"/>
        <w:widowControl w:val="false"/>
        <w:suppressAutoHyphens w:val="tru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4"/>
          <w:rFonts w:cs="Times New Roman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7"/>
        <w:spacing w:lineRule="auto" w:line="240" w:before="0" w:after="0"/>
        <w:ind w:left="0" w:right="0" w:hanging="0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Style w:val="Style14"/>
          <w:rFonts w:ascii="Liberation Serif" w:hAnsi="Liberation Serif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uppressAutoHyphens w:val="true"/>
        <w:spacing w:lineRule="auto" w:line="240" w:before="0" w:after="0"/>
        <w:ind w:left="0" w:right="0" w:firstLine="5386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</w:t>
      </w:r>
    </w:p>
    <w:p>
      <w:pPr>
        <w:pStyle w:val="Style17"/>
        <w:suppressAutoHyphens w:val="true"/>
        <w:spacing w:lineRule="auto" w:line="240" w:before="0" w:after="0"/>
        <w:ind w:left="0" w:right="0" w:firstLine="5386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постановлению администрации </w:t>
      </w:r>
    </w:p>
    <w:p>
      <w:pPr>
        <w:pStyle w:val="Style17"/>
        <w:suppressAutoHyphens w:val="true"/>
        <w:spacing w:lineRule="auto" w:line="240" w:before="0" w:after="0"/>
        <w:ind w:left="0" w:right="0" w:firstLine="5386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Камышловского городского округа</w:t>
      </w:r>
    </w:p>
    <w:p>
      <w:pPr>
        <w:pStyle w:val="Style17"/>
        <w:suppressAutoHyphens w:val="true"/>
        <w:spacing w:lineRule="auto" w:line="240" w:before="0" w:after="0"/>
        <w:ind w:left="0" w:right="0" w:firstLine="5386"/>
        <w:jc w:val="left"/>
        <w:rPr/>
      </w:pPr>
      <w:r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17.02.2021</w:t>
      </w:r>
      <w:r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121</w:t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Методика</w:t>
      </w:r>
    </w:p>
    <w:p>
      <w:pPr>
        <w:pStyle w:val="Style17"/>
        <w:spacing w:lineRule="auto" w:line="240" w:before="0" w:after="0"/>
        <w:ind w:left="0" w:right="0" w:firstLine="567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расчета платы за размещение нестационарных торговых объектов на территории Камышловского городского округа</w:t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Плата за размещение нестационарного торгового объекта рассчитывается на каждый календарный год по формуле:</w:t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cs="Times New Roman"/>
          <w:color w:val="000000"/>
          <w:sz w:val="28"/>
          <w:szCs w:val="28"/>
        </w:rPr>
        <w:t>Пл = СУКС x Кф x Кфп х Sонт, где:</w:t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Пл - плата за размещение нестационарных торговых объектов, руб. в год без учета НДС;</w:t>
      </w:r>
    </w:p>
    <w:p>
      <w:pPr>
        <w:pStyle w:val="Style17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cs="Times New Roman"/>
          <w:color w:val="000000"/>
          <w:sz w:val="28"/>
          <w:szCs w:val="28"/>
        </w:rPr>
        <w:t>СУКС - средний уровень кадастровой стоимости земельных участков, утвержденный на территории Камышловского городского округа по группе сегмента «Предпринимательство», категории «Земли населенных пунктов» руб.;</w:t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Кф - коэффициент за размещение нестационарных торговых объектов (таблица 1);</w:t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Кфп – поправочный коэффициент, учитывающий территориальное расположение нестационарного торгового объекта (таблица 2);</w:t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Sонт - площадь объекта нестационарной торговли.</w:t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Расчет платы по договору на размещение нестационарного торгового объекта осуществляется путем перемножения значений, представленных в формуле в п. 1 настоящей Методики.</w:t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Коэффициент за размещение нестационарных торговых объектов:</w:t>
      </w:r>
    </w:p>
    <w:p>
      <w:pPr>
        <w:pStyle w:val="Style17"/>
        <w:spacing w:lineRule="auto" w:line="240" w:before="0" w:after="0"/>
        <w:ind w:left="0" w:right="0" w:firstLine="567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Таблица 1</w:t>
      </w:r>
    </w:p>
    <w:tbl>
      <w:tblPr>
        <w:tblW w:w="9639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153"/>
        <w:gridCol w:w="2976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autoSpaceDE w:val="false"/>
              <w:spacing w:lineRule="auto" w:line="240" w:before="0" w:after="0"/>
              <w:ind w:left="0" w:right="0" w:firstLine="851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autoSpaceDE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Вид нестационарных торговых объектов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autoSpaceDE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Коэффициент за размещение нестационарных торговых объектов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autoSpaceDE w:val="false"/>
              <w:spacing w:lineRule="auto" w:line="240" w:before="0" w:after="0"/>
              <w:ind w:left="0" w:right="0" w:firstLine="851"/>
              <w:jc w:val="both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autoSpaceDE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Объекты мелкорозничной торговли (отдельно стоящие киоски, лотки, стеллажи, палатки, павильоны, киоски и павильоны на остановках общественного транспорта, не являющихся объектами недвижимости)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autoSpaceDE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autoSpaceDE w:val="false"/>
              <w:spacing w:lineRule="auto" w:line="240" w:before="0" w:after="0"/>
              <w:ind w:left="0" w:right="0" w:firstLine="851"/>
              <w:jc w:val="both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autoSpaceDE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Киоски, осуществляющие торговлю периодическими изданиями, доля которых составляет не менее 30% от общего товарооборота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autoSpaceDE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</w:tbl>
    <w:p>
      <w:pPr>
        <w:pStyle w:val="Style17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Style17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Style17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Style17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4. Поправочные коэффициент, учитывающие территориальное расположение нестационарного торгового объекта:</w:t>
      </w:r>
    </w:p>
    <w:p>
      <w:pPr>
        <w:pStyle w:val="Style17"/>
        <w:autoSpaceDE w:val="false"/>
        <w:spacing w:lineRule="auto" w:line="240" w:before="0" w:after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Таблица 2</w:t>
      </w:r>
    </w:p>
    <w:tbl>
      <w:tblPr>
        <w:tblW w:w="9639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2"/>
        <w:gridCol w:w="5671"/>
        <w:gridCol w:w="2976"/>
      </w:tblGrid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/>
                <w:b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/>
                <w:b/>
                <w:color w:val="000000"/>
                <w:sz w:val="28"/>
                <w:szCs w:val="28"/>
              </w:rPr>
              <w:t>Кадастровый квартал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/>
                <w:b/>
                <w:color w:val="000000"/>
                <w:sz w:val="28"/>
                <w:szCs w:val="28"/>
              </w:rPr>
              <w:t>месторасположения НТО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708"/>
              </w:tabs>
              <w:autoSpaceDE w:val="false"/>
              <w:spacing w:lineRule="auto" w:line="240" w:before="0" w:after="0"/>
              <w:ind w:left="-55" w:right="0" w:hanging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/>
                <w:b/>
                <w:color w:val="000000"/>
                <w:sz w:val="28"/>
                <w:szCs w:val="28"/>
              </w:rPr>
              <w:t>Коэффициент территориального расположения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66:46:0000000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66:46:0101001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66:46:0101002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66:46:0101003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66:46:0101004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66:46:0101005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66:46:0101006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66:46:0102001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66:46:0102002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66:46:0102003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66:46:0102004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66:46:0103001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1,25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66:46:0103002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66:46:0103003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66:46:0103004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66:46:0104001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66:46:0104002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1,25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66:46:0104003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1,25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66:46:0104004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66:46:0104005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66:46:0105001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66:46:0105002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66:46:0105003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66:46:0106001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66:46:0106002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66:46:0107001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66:46:0108001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66:46:0108002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66:46:0108003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66:46:0108004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66:46:0109001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66:46:0109002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66:46:0109003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66:46:0109004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66:46:0109005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66:46:0109006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66:46:0109007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66:46:0109008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66:46:0109009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66:46:0109010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66:46:0109011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66:46:0110001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66:46:0110002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66:46:0110005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pStyle w:val="Style17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70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rFonts w:cs="Liberation Serif;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834" w:hanging="1035"/>
      </w:pPr>
    </w:lvl>
    <w:lvl w:ilvl="1">
      <w:start w:val="1"/>
      <w:numFmt w:val="lowerLetter"/>
      <w:lvlText w:val="%2."/>
      <w:lvlJc w:val="left"/>
      <w:pPr>
        <w:ind w:left="1879" w:hanging="360"/>
      </w:pPr>
    </w:lvl>
    <w:lvl w:ilvl="2">
      <w:start w:val="1"/>
      <w:numFmt w:val="lowerRoman"/>
      <w:lvlText w:val="%3."/>
      <w:lvlJc w:val="right"/>
      <w:pPr>
        <w:ind w:left="2599" w:hanging="180"/>
      </w:pPr>
    </w:lvl>
    <w:lvl w:ilvl="3">
      <w:start w:val="1"/>
      <w:numFmt w:val="decimal"/>
      <w:lvlText w:val="%4."/>
      <w:lvlJc w:val="left"/>
      <w:pPr>
        <w:ind w:left="3319" w:hanging="360"/>
      </w:pPr>
    </w:lvl>
    <w:lvl w:ilvl="4">
      <w:start w:val="1"/>
      <w:numFmt w:val="lowerLetter"/>
      <w:lvlText w:val="%5."/>
      <w:lvlJc w:val="left"/>
      <w:pPr>
        <w:ind w:left="4039" w:hanging="360"/>
      </w:pPr>
    </w:lvl>
    <w:lvl w:ilvl="5">
      <w:start w:val="1"/>
      <w:numFmt w:val="lowerRoman"/>
      <w:lvlText w:val="%6."/>
      <w:lvlJc w:val="right"/>
      <w:pPr>
        <w:ind w:left="4759" w:hanging="180"/>
      </w:pPr>
    </w:lvl>
    <w:lvl w:ilvl="6">
      <w:start w:val="1"/>
      <w:numFmt w:val="decimal"/>
      <w:lvlText w:val="%7."/>
      <w:lvlJc w:val="left"/>
      <w:pPr>
        <w:ind w:left="5479" w:hanging="360"/>
      </w:pPr>
    </w:lvl>
    <w:lvl w:ilvl="7">
      <w:start w:val="1"/>
      <w:numFmt w:val="lowerLetter"/>
      <w:lvlText w:val="%8."/>
      <w:lvlJc w:val="left"/>
      <w:pPr>
        <w:ind w:left="6199" w:hanging="360"/>
      </w:pPr>
    </w:lvl>
    <w:lvl w:ilvl="8">
      <w:start w:val="1"/>
      <w:numFmt w:val="lowerRoman"/>
      <w:lvlText w:val="%9."/>
      <w:lvlJc w:val="right"/>
      <w:pPr>
        <w:ind w:left="691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Calibri"/>
        <w:sz w:val="22"/>
        <w:lang w:val="ru-RU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Liberation Serif" w:hAnsi="Liberation Serif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cs="Liberation Serif;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Liberation Serif" w:hAnsi="Liberation Serif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paragraph" w:styleId="Style18">
    <w:name w:val="Текст выноски"/>
    <w:basedOn w:val="Style17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Body Text"/>
    <w:basedOn w:val="Style17"/>
    <w:pPr>
      <w:suppressAutoHyphens w:val="true"/>
      <w:jc w:val="both"/>
    </w:pPr>
    <w:rPr>
      <w:sz w:val="24"/>
    </w:rPr>
  </w:style>
  <w:style w:type="paragraph" w:styleId="Style21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52" w:before="0" w:after="160"/>
      <w:jc w:val="left"/>
      <w:textAlignment w:val="auto"/>
    </w:pPr>
    <w:rPr>
      <w:rFonts w:ascii="Liberation Serif" w:hAnsi="Liberation Serif" w:cs="Liberation Serif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LibreOffice/6.3.4.2$Windows_X86_64 LibreOffice_project/60da17e045e08f1793c57c00ba83cdfce946d0aa</Application>
  <Pages>6</Pages>
  <Words>736</Words>
  <CharactersWithSpaces>5636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2021-02-04T04:47:00Z</dcterms:created>
  <dc:creator>KAM-KOM</dc:creator>
  <dc:description/>
  <dc:language>ru-RU</dc:language>
  <cp:lastModifiedBy/>
  <cp:lastPrinted>2021-02-18T09:26:57Z</cp:lastPrinted>
  <dcterms:modified xsi:type="dcterms:W3CDTF">2021-02-18T09:27:08Z</dcterms:modified>
  <cp:revision>7</cp:revision>
  <dc:subject/>
  <dc:title/>
</cp:coreProperties>
</file>