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3"/>
        <w:widowControl/>
        <w:jc w:val="center"/>
        <w:rPr>
          <w:rFonts w:ascii="Liberation Serif" w:hAnsi="Liberation Serif" w:cs="Times New Roman"/>
          <w:b/>
          <w:b/>
          <w:iCs/>
          <w:sz w:val="28"/>
          <w:szCs w:val="28"/>
        </w:rPr>
      </w:pPr>
      <w:r>
        <w:rPr>
          <w:rFonts w:cs="Times New Roman" w:ascii="Liberation Serif" w:hAnsi="Liberation Serif"/>
          <w:b/>
          <w:iCs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33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33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3"/>
        <w:jc w:val="left"/>
        <w:rPr>
          <w:lang w:val="ru-RU" w:eastAsia="ru-RU"/>
        </w:rPr>
      </w:pP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от 2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8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.05.2020 N 3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6</w:t>
      </w:r>
      <w:r>
        <w:rPr>
          <w:rStyle w:val="Style14"/>
          <w:rFonts w:eastAsia="Times New Roman" w:cs="Times New Roman" w:ascii="Liberation Serif" w:hAnsi="Liberation Serif"/>
          <w:b/>
          <w:bCs/>
          <w:i w:val="false"/>
          <w:iCs w:val="false"/>
          <w:kern w:val="2"/>
          <w:sz w:val="28"/>
          <w:szCs w:val="28"/>
          <w:lang w:val="ru-RU" w:eastAsia="ru-RU"/>
        </w:rPr>
        <w:t>6</w:t>
      </w:r>
      <w:r>
        <w:rPr>
          <w:rStyle w:val="Style14"/>
          <w:rFonts w:eastAsia="Times New Roman" w:cs="Times New Roman" w:ascii="Liberation Serif" w:hAnsi="Liberation Serif"/>
          <w:b/>
          <w:bCs/>
          <w:i/>
          <w:iCs/>
          <w:kern w:val="2"/>
          <w:sz w:val="28"/>
          <w:szCs w:val="28"/>
          <w:lang w:val="ru-RU" w:eastAsia="ru-RU"/>
        </w:rPr>
        <w:t xml:space="preserve">                        </w:t>
      </w:r>
      <w:r>
        <w:rPr>
          <w:rStyle w:val="Style14"/>
          <w:rFonts w:eastAsia="Times New Roman" w:cs="Times New Roman" w:ascii="Liberation Serif" w:hAnsi="Liberation Serif"/>
          <w:b/>
          <w:bCs/>
          <w:iCs/>
          <w:sz w:val="28"/>
          <w:szCs w:val="28"/>
          <w:lang w:val="ru-RU" w:eastAsia="ru-RU"/>
        </w:rPr>
        <w:t xml:space="preserve">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организации  проведения проверки готовности к отопительному периоду  20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20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/202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1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года теплоснабжающих,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теплосевых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организаций и потребителей тепловой энергии по Камышловскому городскому округу</w:t>
      </w:r>
    </w:p>
    <w:p>
      <w:pPr>
        <w:pStyle w:val="Style24"/>
        <w:spacing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статьей 6 Федерального закона от 27 июля 2010 года № 190-ФЗ «О теплоснабжении» («Российская газета», № 168, 30.07.2010), пунктом 4 статьи 16 Федерального закона от 06 октября 2003 года №131-ФЗ «Об общих принципах организации местного самоуправления в Российской Федерации» («Российская газета», № 202, 08.10.2003), Правилами оценки готовности к отопительному периоду, утвержденными Приказом Министерства энергетики Российской Федерации от 12 марта 2013 года  № 103 («Российская газета», № 101, 15.05.2013), пунктом 6 статьи 30 Устава Камышловского городского округа («Камышловские известия», № 58, 23.07.2005),  </w:t>
      </w:r>
      <w:r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 </w:t>
      </w:r>
    </w:p>
    <w:p>
      <w:pPr>
        <w:pStyle w:val="Style24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</w:t>
      </w:r>
      <w:r>
        <w:rPr>
          <w:rFonts w:ascii="Liberation Serif" w:hAnsi="Liberation Serif"/>
          <w:b/>
          <w:sz w:val="28"/>
          <w:szCs w:val="28"/>
        </w:rPr>
        <w:t>ЯЕТ</w:t>
      </w:r>
      <w:r>
        <w:rPr>
          <w:rFonts w:ascii="Liberation Serif" w:hAnsi="Liberation Serif"/>
          <w:b/>
          <w:sz w:val="28"/>
          <w:szCs w:val="28"/>
        </w:rPr>
        <w:t>: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Утвердить: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Программу проведения проверки готовности к отопительному периоду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теплоснабжающих, </w:t>
      </w:r>
      <w:r>
        <w:rPr>
          <w:rFonts w:ascii="Liberation Serif" w:hAnsi="Liberation Serif"/>
          <w:sz w:val="28"/>
          <w:szCs w:val="28"/>
        </w:rPr>
        <w:t>теплосетевых</w:t>
      </w:r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по Камышловскому городскому округу (прилагается).</w:t>
      </w:r>
    </w:p>
    <w:p>
      <w:pPr>
        <w:pStyle w:val="Normal"/>
        <w:widowControl/>
        <w:tabs>
          <w:tab w:val="clear" w:pos="708"/>
          <w:tab w:val="left" w:pos="540" w:leader="none"/>
          <w:tab w:val="left" w:pos="1260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Состав комиссии по проведению проверки готовности к отопительному периоду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теплоснабжающих, </w:t>
      </w:r>
      <w:r>
        <w:rPr>
          <w:rFonts w:ascii="Liberation Serif" w:hAnsi="Liberation Serif"/>
          <w:sz w:val="28"/>
          <w:szCs w:val="28"/>
        </w:rPr>
        <w:t>теплосетевых</w:t>
      </w:r>
      <w:r>
        <w:rPr>
          <w:rFonts w:ascii="Liberation Serif" w:hAnsi="Liberation Serif"/>
          <w:sz w:val="28"/>
          <w:szCs w:val="28"/>
        </w:rPr>
        <w:t xml:space="preserve"> организаций и потребителей тепловой энергии по Камышловскому городскому округу (прилагается).</w:t>
      </w:r>
    </w:p>
    <w:p>
      <w:pPr>
        <w:pStyle w:val="ConsPlus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17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98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УТВЕРЖДЕНА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sz w:val="28"/>
                <w:szCs w:val="28"/>
                <w:lang w:val="ru-RU" w:eastAsia="zh-CN" w:bidi="ar-SA"/>
              </w:rPr>
              <w:t>28.05</w:t>
            </w:r>
            <w:r>
              <w:rPr>
                <w:rFonts w:ascii="Liberation Serif" w:hAnsi="Liberation Serif"/>
                <w:sz w:val="28"/>
                <w:szCs w:val="28"/>
              </w:rPr>
              <w:t>.20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20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366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 организации проведения проверки готовности к отопительному периоду 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 теплоснабжающих, </w:t>
            </w:r>
            <w:r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организаций и потребителей тепловой энергии по Камышловскому городскому округу»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>Программа проведения проверки готовности к</w:t>
      </w:r>
      <w:r>
        <w:rPr>
          <w:b/>
          <w:sz w:val="28"/>
          <w:szCs w:val="28"/>
        </w:rPr>
        <w:t xml:space="preserve"> отопительному периоду  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теплоснабжающих,</w:t>
      </w:r>
      <w:r>
        <w:rPr>
          <w:b/>
          <w:sz w:val="28"/>
          <w:szCs w:val="28"/>
        </w:rPr>
        <w:t xml:space="preserve"> теплосетевых </w:t>
      </w:r>
      <w:r>
        <w:rPr>
          <w:b/>
          <w:sz w:val="28"/>
          <w:szCs w:val="28"/>
        </w:rPr>
        <w:t>организаций и потребителей тепловой энергии по Камышловскому городскому округу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 </w:t>
      </w:r>
      <w:r>
        <w:rPr>
          <w:rStyle w:val="Style15"/>
          <w:sz w:val="28"/>
          <w:szCs w:val="28"/>
        </w:rPr>
        <w:t xml:space="preserve">      </w:t>
      </w:r>
      <w:r>
        <w:rPr>
          <w:rStyle w:val="Style15"/>
          <w:sz w:val="28"/>
          <w:szCs w:val="28"/>
        </w:rPr>
        <w:t>1.  Общие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  рациональное расходование материально-технических средств и топливно-энергетических ресурсов.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sz w:val="28"/>
          <w:szCs w:val="28"/>
        </w:rPr>
        <w:t xml:space="preserve">         </w:t>
      </w:r>
      <w:r>
        <w:rPr>
          <w:rStyle w:val="Style15"/>
          <w:sz w:val="28"/>
          <w:szCs w:val="28"/>
        </w:rPr>
        <w:t>2.  Работа комиссии по проверке</w:t>
      </w:r>
      <w:r>
        <w:rPr>
          <w:sz w:val="28"/>
          <w:szCs w:val="28"/>
        </w:rPr>
        <w:t xml:space="preserve"> </w:t>
      </w:r>
      <w:r>
        <w:rPr>
          <w:rStyle w:val="Style15"/>
          <w:sz w:val="28"/>
          <w:szCs w:val="28"/>
        </w:rPr>
        <w:t>готовности к отопительному периоду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2.1. Администрация Камышловского городского округа организует: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  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  работу комиссии по проверке готовности к отопительному периоду объектов  социальной сферы;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готовности жилищного фонда к приему тепла,  укомплектованность дежурных смен коммунальных объектов и аварийных бригад подготовленным и аттестованным персоналом, обеспеченность их аварийным </w:t>
      </w:r>
      <w:r>
        <w:rPr>
          <w:sz w:val="28"/>
          <w:szCs w:val="28"/>
        </w:rPr>
        <w:t>неснижаемым</w:t>
      </w:r>
      <w:r>
        <w:rPr>
          <w:sz w:val="28"/>
          <w:szCs w:val="28"/>
        </w:rPr>
        <w:t xml:space="preserve"> запасом материально-технических ресурсов, топливом.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      </w:t>
      </w:r>
      <w:r>
        <w:rPr>
          <w:sz w:val="28"/>
          <w:szCs w:val="28"/>
        </w:rPr>
        <w:t>Проверка осуществляется комиссией, которая образована администрацией Камышловского городского округа (далее - Комиссия).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объекты, подлежащие проверке;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проверки;</w:t>
      </w:r>
    </w:p>
    <w:p>
      <w:pPr>
        <w:pStyle w:val="Normal"/>
        <w:jc w:val="both"/>
        <w:rPr/>
      </w:pPr>
      <w:r>
        <w:rPr>
          <w:sz w:val="28"/>
          <w:szCs w:val="28"/>
        </w:rPr>
        <w:t>- документы, проверяемые в ходе проведения проверки.</w:t>
      </w:r>
      <w:r>
        <w:rPr/>
        <w:t> </w:t>
      </w:r>
    </w:p>
    <w:p>
      <w:pPr>
        <w:pStyle w:val="Style24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929" w:type="dxa"/>
        <w:jc w:val="left"/>
        <w:tblInd w:w="-12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88"/>
        <w:gridCol w:w="3980"/>
        <w:gridCol w:w="1549"/>
        <w:gridCol w:w="2024"/>
      </w:tblGrid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/>
            </w:pPr>
            <w:r>
              <w:rPr>
                <w:rStyle w:val="Style15"/>
              </w:rPr>
              <w:t>Объекты, подлежащие      проверке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>
                <w:rStyle w:val="Style15"/>
              </w:rPr>
              <w:t>Наименование организации, количество объектов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/>
            </w:pPr>
            <w:r>
              <w:rPr>
                <w:rStyle w:val="Style15"/>
              </w:rPr>
              <w:t>Сроки проведения  проверки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rPr/>
            </w:pPr>
            <w:r>
              <w:rPr>
                <w:rStyle w:val="Style15"/>
              </w:rPr>
              <w:t>Документы, проверяемые в ходе проверки</w:t>
            </w:r>
          </w:p>
        </w:tc>
      </w:tr>
      <w:tr>
        <w:trPr>
          <w:trHeight w:val="3790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rPr/>
            </w:pPr>
            <w:r>
              <w:rPr/>
              <w:t xml:space="preserve">Теплоснабжающие </w:t>
            </w:r>
            <w:r>
              <w:rPr/>
              <w:t>и теплосетевые</w:t>
            </w:r>
            <w:r>
              <w:rPr/>
              <w:t xml:space="preserve"> организации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Теплоснабжающие организации: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/>
              <w:t>1. МУП «Теплоснабжающая организация».                                                      2. ООО «СтройКонсалтинг»                                                                                                          3. ФГБУ «Центральное жилищно-коммунальное управление» Минобороны России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/>
              <w:t>4. ОАО "Российские железные дороги",  Свердловская дирекция по тепловодоснабжению - структурное подразделение Центральной дирекции по тепловодоснабжению - филиала ОАО "РЖД" (котельная ШЧ-7 ст.Камышлов Тюменского территориального участка)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/>
              <w:t>5. ООО «Русская Энергетика»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/>
              <w:t>Теплосетевые организации — отсутствуют.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0</w:t>
            </w:r>
            <w:r>
              <w:rPr/>
              <w:t>1</w:t>
            </w:r>
            <w:r>
              <w:rPr/>
              <w:t>.09.20</w:t>
            </w:r>
            <w:r>
              <w:rPr/>
              <w:t>20</w:t>
            </w:r>
            <w:r>
              <w:rPr/>
              <w:t xml:space="preserve"> – 1</w:t>
            </w:r>
            <w:r>
              <w:rPr/>
              <w:t>5</w:t>
            </w:r>
            <w:r>
              <w:rPr/>
              <w:t>.</w:t>
            </w:r>
            <w:r>
              <w:rPr/>
              <w:t>1</w:t>
            </w:r>
            <w:r>
              <w:rPr/>
              <w:t>0.20</w:t>
            </w:r>
            <w:r>
              <w:rPr/>
              <w:t>20</w:t>
            </w: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В соответствии с Приложением 4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Потребители тепловой энергии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МАОУ «Школа №1 имени Героя Советского Союза Бориса Самуиловича Семенова» Камышловского городского округа                                                      2. МАОУ  «Школа №3» Камышловского городского округа                             3. МАОУ «Лицей №5» Камышловского городского округа                                                       4. МАОУ «Школа №6»  Камышловского городского округа                                                       5. МАОУ «Детский сад №5» «Радуга»  Камышловского городского округа                                                  6. МАОУ  «Школа № 7» Камышловского городского округа                                                             7. МАОУ – средняя  общеобразовательная школа №58   Камышловского городского округа                                                                                                8.  МАДОУ «Детский сад  №2»  Камышловского городского округа                                                                                                       9. МАДОУ «Детский сад  №12»   Камышловского городского округа                                                                         10. МАДОУ «Детский сад  №13»  Камышловского городского округа                                                                    11. МАДОУ «Детский сад комбинированного вида №14»  Камышловского городского округа                                                                      12. МАДОУ «Детский сад  №16»    Камышловского городского округа                                                               13. МАДОУ «Детский сад №92»     Камышловского городского округа                                                                 14. МАДОУ «Детский сад  №170»  Камышловского городского округа                                                          15. МАДОУ «Центр развития ребенка – детский сад№4» Камышловского городского округа                                                  16. МАУ ДО «Дом детского творчества»  Камышловского городского округа                                                                                               17. МАУ ДО «Камышловская детская  школа искусств №1»                                      18.     </w:t>
            </w:r>
            <w:r>
              <w:rPr>
                <w:sz w:val="24"/>
                <w:szCs w:val="24"/>
              </w:rPr>
              <w:t>ГАПОУ СО «Камышловский техникум промышленности и транспорта»</w:t>
            </w:r>
            <w:r>
              <w:rPr>
                <w:sz w:val="24"/>
                <w:szCs w:val="24"/>
              </w:rPr>
              <w:t xml:space="preserve">             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>
              <w:rPr>
                <w:sz w:val="24"/>
                <w:szCs w:val="24"/>
                <w:highlight w:val="white"/>
              </w:rPr>
              <w:t xml:space="preserve">МБУК "Камышловская централизованная библиотечная система"  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АМУК Камышловского городского округа  «Центр культуры и досуга»                           21. МАУ ДО Камышловского городского округа «Детская хореографическая школа»                   22. МБУК Камышловского городского округа «Камышловский краеведческий музей»                                                                  23. МБУ «Центр развития физической культуры, спорта и патриотического воспитания» 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24. ГБОУПО СО «Камышловское  профессиональное училище»</w:t>
            </w:r>
            <w:r>
              <w:rPr/>
              <w:t xml:space="preserve">  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МБУ ДО «Детская художественная школа»  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>26.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МАДОУ «Детский сад общеразвивающего вида с приоритетным осуществлением художественно-эстетического развития №1» Камышловского городского округа</w:t>
            </w:r>
            <w:r>
              <w:rPr/>
              <w:t xml:space="preserve">  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  МАУ ДО «ДЮСШ» Камышловского городского округа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МУП «Водоканал Камышлов»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ГБУЗ СО «Камышловская центральная районная больница»   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03</w:t>
            </w:r>
            <w:r>
              <w:rPr/>
              <w:t>.08.20</w:t>
            </w:r>
            <w:r>
              <w:rPr/>
              <w:t>20</w:t>
            </w:r>
            <w:r>
              <w:rPr/>
              <w:t xml:space="preserve"> – </w:t>
            </w:r>
            <w:r>
              <w:rPr/>
              <w:t>15</w:t>
            </w:r>
            <w:r>
              <w:rPr/>
              <w:t>.0</w:t>
            </w:r>
            <w:r>
              <w:rPr/>
              <w:t>9</w:t>
            </w:r>
            <w:r>
              <w:rPr/>
              <w:t>.20</w:t>
            </w:r>
            <w:r>
              <w:rPr/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В соответствии с Приложением 5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Жилой фонд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1. ООО «Эстра-УК»;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/>
              <w:t>2. ООО «Городская управляющая компания – Камышлов";</w:t>
            </w:r>
          </w:p>
          <w:p>
            <w:pPr>
              <w:pStyle w:val="Style24"/>
              <w:spacing w:before="0" w:after="0"/>
              <w:jc w:val="both"/>
              <w:rPr/>
            </w:pPr>
            <w:r>
              <w:rPr/>
              <w:t xml:space="preserve">3. ООО «Камышловская управляющая компания».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both"/>
              <w:rPr/>
            </w:pPr>
            <w:r>
              <w:rPr/>
              <w:t>03</w:t>
            </w:r>
            <w:r>
              <w:rPr/>
              <w:t>.08.20</w:t>
            </w:r>
            <w:r>
              <w:rPr/>
              <w:t>20</w:t>
            </w:r>
            <w:r>
              <w:rPr/>
              <w:t xml:space="preserve"> –</w:t>
            </w:r>
            <w:r>
              <w:rPr/>
              <w:t>15</w:t>
            </w:r>
            <w:r>
              <w:rPr/>
              <w:t>.0</w:t>
            </w:r>
            <w:r>
              <w:rPr/>
              <w:t>9</w:t>
            </w:r>
            <w:r>
              <w:rPr/>
              <w:t>.20</w:t>
            </w:r>
            <w:r>
              <w:rPr/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сокращений: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МУП – муниципальное унитарное предприятие;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ООО – общество с ограниченной ответственностью;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ФГБУ – федеральное государственное бюджетное учреждение;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ОАО – открытое акционерное общество;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МАОУ – муниципальное автономное образовательное учреждение;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– муниципальное автономное дошкольное образовательное учреждение;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МАУ ДО – муниципальное автономное учреждение дополнительного образования;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МБУК – муниципальное бюджетное учреждение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АМУК – автономное муниципальное учреждение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МБУ – муниципальное бюджетное учреждение;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ГБОУПО СО – государственное бюджетное образовательное учреждения профессионального образования Свердловской области;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МБУ ДО – муниципальное бюджетное учреждение дополнительного образования;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ГБУЗ СО – государственное бюджетное учреждение здравоохранения Свердловской области;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>
        <w:rPr>
          <w:rStyle w:val="Style15"/>
          <w:b w:val="false"/>
          <w:sz w:val="28"/>
          <w:szCs w:val="28"/>
        </w:rPr>
        <w:t xml:space="preserve"> теплоснабжающих и теплосетевых организаций и потребителей тепловой энергии по Камышловскому городскому округу</w:t>
      </w:r>
      <w:r>
        <w:rPr>
          <w:sz w:val="28"/>
          <w:szCs w:val="28"/>
        </w:rPr>
        <w:t xml:space="preserve"> (далее - Программа).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</w:t>
      </w:r>
      <w:r>
        <w:rPr>
          <w:sz w:val="28"/>
          <w:szCs w:val="28"/>
        </w:rPr>
        <w:t>Проверка выполнения теплоснабжающими и теплосетевыми организациями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2013г.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  </w:t>
      </w: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 проводят осмотр объектов проверки.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 объект проверки готов к отопительному периоду;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выдается администрацией Камышловского городского округа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>
      <w:pPr>
        <w:pStyle w:val="ConsPlusNormal"/>
        <w:ind w:left="0" w:right="0" w:firstLine="567"/>
        <w:jc w:val="both"/>
        <w:rPr/>
      </w:pPr>
      <w:r>
        <w:rPr/>
        <w:t>Сроки выдачи паспортов определяются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муниципального образования.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 </w:t>
      </w: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Организация, не получившая по объектам проверки паспорт готовности до 15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ября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>
      <w:pPr>
        <w:pStyle w:val="Normal"/>
        <w:jc w:val="both"/>
        <w:rPr/>
      </w:pPr>
      <w:r>
        <w:rPr>
          <w:rStyle w:val="Style15"/>
          <w:sz w:val="28"/>
          <w:szCs w:val="28"/>
        </w:rPr>
        <w:t xml:space="preserve">       </w:t>
      </w:r>
    </w:p>
    <w:p>
      <w:pPr>
        <w:pStyle w:val="Normal"/>
        <w:jc w:val="both"/>
        <w:rPr/>
      </w:pPr>
      <w:r>
        <w:rPr>
          <w:rStyle w:val="Style15"/>
          <w:sz w:val="28"/>
          <w:szCs w:val="28"/>
        </w:rPr>
        <w:t xml:space="preserve">       </w:t>
      </w:r>
      <w:r>
        <w:rPr>
          <w:rStyle w:val="Style15"/>
          <w:sz w:val="28"/>
          <w:szCs w:val="28"/>
        </w:rPr>
        <w:t>3. Порядок взаимодействия теплоснабжающих и теплосетевых 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Теплоснабжающие и теплосетевые организаций представляют в администрацию документы по выполнению требований по готовности к отопительному периоду, указанные в Приложении 3, в срок за 3 дня до начала проверки, подписанные руководителем или лицом, отвечающим за подготовку объектов к отопительному периоду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пунктах 2, 5, 8 Приложения 4. Информацию по выполнению требований, указанных в пунктах 1, 3, 4, 9, частично в пунктах 10, 15, 17 Приложения 4, потребители предоставляют на рассмотрение по требованию комиссии самостоятельно в администрацию.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организация оформляет Акт проверки готовности к отопительному периоду потребителей и направляет его в администрацию Камышловского городского округа на рассмотрение комиссии.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5"/>
          <w:b w:val="false"/>
        </w:rPr>
        <w:t xml:space="preserve">                                                                                              </w:t>
      </w:r>
      <w:r>
        <w:rPr>
          <w:rStyle w:val="Style15"/>
          <w:b w:val="false"/>
          <w:sz w:val="24"/>
          <w:szCs w:val="24"/>
        </w:rPr>
        <w:t xml:space="preserve">Приложение №1    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Style w:val="Style15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b w:val="false"/>
          <w:sz w:val="24"/>
          <w:szCs w:val="24"/>
        </w:rPr>
        <w:t>к отопительному периоду 20</w:t>
      </w:r>
      <w:r>
        <w:rPr>
          <w:rStyle w:val="Style15"/>
          <w:b w:val="false"/>
          <w:sz w:val="24"/>
          <w:szCs w:val="24"/>
        </w:rPr>
        <w:t>20</w:t>
      </w:r>
      <w:r>
        <w:rPr>
          <w:rStyle w:val="Style15"/>
          <w:b w:val="false"/>
          <w:sz w:val="24"/>
          <w:szCs w:val="24"/>
        </w:rPr>
        <w:t>/202</w:t>
      </w:r>
      <w:r>
        <w:rPr>
          <w:rStyle w:val="Style15"/>
          <w:b w:val="false"/>
          <w:sz w:val="24"/>
          <w:szCs w:val="24"/>
        </w:rPr>
        <w:t>1</w:t>
      </w:r>
      <w:r>
        <w:rPr>
          <w:rStyle w:val="Style15"/>
          <w:b w:val="false"/>
          <w:sz w:val="24"/>
          <w:szCs w:val="24"/>
        </w:rPr>
        <w:t xml:space="preserve"> года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</w:t>
      </w:r>
      <w:r>
        <w:rPr>
          <w:rStyle w:val="Style15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</w:t>
      </w:r>
      <w:r>
        <w:rPr>
          <w:rStyle w:val="Style15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</w:t>
      </w:r>
      <w:r>
        <w:rPr>
          <w:rStyle w:val="Style15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АКТ</w:t>
      </w:r>
    </w:p>
    <w:p>
      <w:pPr>
        <w:pStyle w:val="ConsPlusNonformat"/>
        <w:bidi w:val="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проверки готовности к отопительному периоду 20___ /20____   года</w:t>
      </w:r>
    </w:p>
    <w:p>
      <w:pPr>
        <w:pStyle w:val="ConsPlusNonformat"/>
        <w:bidi w:val="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ConsPlusNonformat"/>
        <w:bidi w:val="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tbl>
      <w:tblPr>
        <w:tblW w:w="98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4"/>
        <w:gridCol w:w="3285"/>
      </w:tblGrid>
      <w:tr>
        <w:trPr/>
        <w:tc>
          <w:tcPr>
            <w:tcW w:w="3284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u w:val="single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  <w:u w:val="single"/>
              </w:rPr>
              <w:t>________________</w:t>
            </w:r>
          </w:p>
        </w:tc>
        <w:tc>
          <w:tcPr>
            <w:tcW w:w="3284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u w:val="single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  <w:u w:val="single"/>
              </w:rPr>
              <w:t>________________</w:t>
            </w:r>
          </w:p>
        </w:tc>
      </w:tr>
      <w:tr>
        <w:trPr/>
        <w:tc>
          <w:tcPr>
            <w:tcW w:w="3284" w:type="dxa"/>
            <w:tcBorders/>
            <w:shd w:fill="auto" w:val="clear"/>
          </w:tcPr>
          <w:p>
            <w:pPr>
              <w:pStyle w:val="ConsPlusNonformat"/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(место составления акта)</w:t>
            </w:r>
          </w:p>
        </w:tc>
        <w:tc>
          <w:tcPr>
            <w:tcW w:w="3284" w:type="dxa"/>
            <w:tcBorders/>
            <w:shd w:fill="auto" w:val="clear"/>
          </w:tcPr>
          <w:p>
            <w:pPr>
              <w:pStyle w:val="ConsPlusNonformat"/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ConsPlusNonformat"/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(дата составления акта)</w:t>
            </w:r>
          </w:p>
        </w:tc>
      </w:tr>
    </w:tbl>
    <w:p>
      <w:pPr>
        <w:pStyle w:val="ConsPlusNonformat"/>
        <w:bidi w:val="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ConsPlusNonformat"/>
        <w:bidi w:val="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Комиссия, образованная распоряжением (постановлением)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>Главы городского округа</w:t>
      </w:r>
      <w:r>
        <w:rPr>
          <w:rFonts w:cs="Liberation Serif" w:ascii="Liberation Serif" w:hAnsi="Liberation Serif"/>
          <w:i/>
          <w:sz w:val="24"/>
          <w:szCs w:val="24"/>
        </w:rPr>
        <w:t xml:space="preserve">_________________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 xml:space="preserve">             от               №    , 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составе: 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председатель комиссии –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>_________________________________________________________</w:t>
      </w:r>
      <w:r>
        <w:rPr>
          <w:rFonts w:cs="Liberation Serif" w:ascii="Liberation Serif" w:hAnsi="Liberation Serif"/>
          <w:i/>
          <w:sz w:val="24"/>
          <w:szCs w:val="24"/>
        </w:rPr>
        <w:t>.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eastAsia="Liberation Serif" w:cs="Liberation Serif"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  <w:vertAlign w:val="subscript"/>
        </w:rPr>
        <w:t>(ФИО, должность)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члены комиссии: 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i/>
          <w:sz w:val="24"/>
          <w:szCs w:val="24"/>
        </w:rPr>
        <w:t xml:space="preserve">-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>______________________________________________________________________________</w:t>
      </w:r>
      <w:r>
        <w:rPr>
          <w:rFonts w:cs="Liberation Serif" w:ascii="Liberation Serif" w:hAnsi="Liberation Serif"/>
          <w:i/>
          <w:sz w:val="24"/>
          <w:szCs w:val="24"/>
        </w:rPr>
        <w:t>;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i/>
          <w:sz w:val="24"/>
          <w:szCs w:val="24"/>
        </w:rPr>
        <w:t xml:space="preserve">-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>______________________________________________________________________________</w:t>
      </w:r>
      <w:r>
        <w:rPr>
          <w:rFonts w:cs="Liberation Serif" w:ascii="Liberation Serif" w:hAnsi="Liberation Serif"/>
          <w:i/>
          <w:sz w:val="24"/>
          <w:szCs w:val="24"/>
        </w:rPr>
        <w:t>;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i/>
          <w:sz w:val="24"/>
          <w:szCs w:val="24"/>
        </w:rPr>
        <w:t xml:space="preserve">-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>______________________________________________________________________________</w:t>
      </w:r>
      <w:r>
        <w:rPr>
          <w:rFonts w:cs="Liberation Serif" w:ascii="Liberation Serif" w:hAnsi="Liberation Serif"/>
          <w:i/>
          <w:sz w:val="24"/>
          <w:szCs w:val="24"/>
        </w:rPr>
        <w:t>;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i/>
          <w:sz w:val="24"/>
          <w:szCs w:val="24"/>
        </w:rPr>
        <w:t xml:space="preserve">- </w:t>
      </w:r>
      <w:r>
        <w:rPr>
          <w:rFonts w:cs="Liberation Serif" w:ascii="Liberation Serif" w:hAnsi="Liberation Serif"/>
          <w:i/>
          <w:sz w:val="24"/>
          <w:szCs w:val="24"/>
          <w:u w:val="single"/>
        </w:rPr>
        <w:t>представитель Уральского управления Ростехнадзора (по согласованию)</w:t>
      </w:r>
      <w:r>
        <w:rPr>
          <w:rFonts w:cs="Liberation Serif" w:ascii="Liberation Serif" w:hAnsi="Liberation Serif"/>
          <w:i/>
          <w:sz w:val="24"/>
          <w:szCs w:val="24"/>
        </w:rPr>
        <w:t>.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соответствии с Программой проведения проверки готовности к отопительному периоду 20___   -20____    годов, утвержденной </w:t>
      </w:r>
    </w:p>
    <w:p>
      <w:pPr>
        <w:pStyle w:val="ConsPlusNonformat"/>
        <w:pBdr>
          <w:bottom w:val="single" w:sz="12" w:space="1" w:color="000000"/>
        </w:pBdr>
        <w:bidi w:val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i/>
          <w:sz w:val="24"/>
          <w:szCs w:val="24"/>
        </w:rPr>
        <w:t xml:space="preserve">администрацией Камышловского городского </w:t>
      </w:r>
      <w:r>
        <w:rPr>
          <w:rFonts w:cs="Liberation Serif" w:ascii="Liberation Serif" w:hAnsi="Liberation Serif"/>
          <w:b/>
          <w:i/>
          <w:sz w:val="24"/>
          <w:szCs w:val="24"/>
        </w:rPr>
        <w:t>округа ____________________________</w:t>
      </w:r>
    </w:p>
    <w:p>
      <w:pPr>
        <w:pStyle w:val="Normal"/>
        <w:bidi w:val="0"/>
        <w:spacing w:before="0" w:after="0"/>
        <w:ind w:left="23" w:right="0" w:hanging="0"/>
        <w:jc w:val="center"/>
        <w:rPr/>
      </w:pPr>
      <w:r>
        <w:rPr>
          <w:rFonts w:eastAsia="Liberation Serif" w:cs="Liberation Serif" w:ascii="Liberation Serif" w:hAnsi="Liberation Serif"/>
          <w:sz w:val="20"/>
          <w:szCs w:val="20"/>
        </w:rPr>
        <w:t xml:space="preserve"> </w:t>
      </w:r>
      <w:r>
        <w:rPr>
          <w:rFonts w:cs="Liberation Serif" w:ascii="Liberation Serif" w:hAnsi="Liberation Serif"/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>
      <w:pPr>
        <w:pStyle w:val="Normal"/>
        <w:bidi w:val="0"/>
        <w:spacing w:before="0" w:after="0"/>
        <w:ind w:left="23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в период с ___________ по </w:t>
      </w:r>
      <w:r>
        <w:rPr>
          <w:rFonts w:cs="Liberation Serif" w:ascii="Liberation Serif" w:hAnsi="Liberation Serif"/>
          <w:sz w:val="20"/>
          <w:szCs w:val="20"/>
        </w:rPr>
        <w:t>_______________</w:t>
      </w:r>
      <w:r>
        <w:rPr>
          <w:rFonts w:cs="Liberation Serif" w:ascii="Liberation Serif" w:hAnsi="Liberation Serif"/>
          <w:sz w:val="24"/>
          <w:szCs w:val="24"/>
        </w:rPr>
        <w:t xml:space="preserve"> в соответствии с Федеральным законом от 27 июля 2010 г. № 190-ФЗ "О теплоснабжении" провела проверку готовности к отопительному периоду </w:t>
      </w:r>
    </w:p>
    <w:p>
      <w:pPr>
        <w:pStyle w:val="Normal"/>
        <w:bidi w:val="0"/>
        <w:spacing w:before="0" w:after="0"/>
        <w:ind w:left="23" w:right="0" w:hanging="0"/>
        <w:jc w:val="center"/>
        <w:rPr>
          <w:rFonts w:ascii="Liberation Serif" w:hAnsi="Liberation Serif" w:cs="Liberation Serif"/>
          <w:b/>
          <w:b/>
          <w:i/>
          <w:i/>
          <w:sz w:val="24"/>
          <w:szCs w:val="24"/>
          <w:u w:val="single"/>
        </w:rPr>
      </w:pPr>
      <w:r>
        <w:rPr>
          <w:rFonts w:cs="Liberation Serif" w:ascii="Liberation Serif" w:hAnsi="Liberation Serif"/>
          <w:b/>
          <w:i/>
          <w:sz w:val="24"/>
          <w:szCs w:val="24"/>
          <w:u w:val="single"/>
        </w:rPr>
        <w:t>________________________________________________________________________________</w:t>
      </w:r>
    </w:p>
    <w:p>
      <w:pPr>
        <w:pStyle w:val="Normal"/>
        <w:bidi w:val="0"/>
        <w:spacing w:before="0" w:after="0"/>
        <w:ind w:left="23" w:right="0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(полное наименование предприятия)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 проведением проверки ознакомлен: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</w:p>
    <w:p>
      <w:pPr>
        <w:pStyle w:val="ConsPlusNonformat"/>
        <w:bidi w:val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1. Котельная, расположенная по адресу </w:t>
      </w:r>
      <w:r>
        <w:rPr>
          <w:rFonts w:cs="Liberation Serif" w:ascii="Liberation Serif" w:hAnsi="Liberation Serif"/>
          <w:i/>
          <w:sz w:val="24"/>
          <w:szCs w:val="24"/>
        </w:rPr>
        <w:t>Свердловская обл., город_______, ул._______, №____.</w:t>
      </w:r>
    </w:p>
    <w:p>
      <w:pPr>
        <w:pStyle w:val="ConsPlusNonformat"/>
        <w:bidi w:val="0"/>
        <w:ind w:left="0" w:right="0" w:hanging="0"/>
        <w:jc w:val="both"/>
        <w:rPr/>
      </w:pPr>
      <w:r>
        <w:rPr/>
        <w:t xml:space="preserve">В ходе проведения проверки готовности к отопительному периоду комиссия установила: </w:t>
      </w:r>
    </w:p>
    <w:tbl>
      <w:tblPr>
        <w:tblW w:w="985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107"/>
        <w:gridCol w:w="1557"/>
        <w:gridCol w:w="3516"/>
      </w:tblGrid>
      <w:tr>
        <w:trPr>
          <w:trHeight w:val="61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№</w:t>
            </w:r>
            <w:r>
              <w:rPr>
                <w:rFonts w:eastAsia="Liberation Serif" w:cs="Liberation Serif"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cs="Liberation Serif"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Проверяемые вопросы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Выполнение</w:t>
            </w:r>
          </w:p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условия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Примечание</w:t>
            </w:r>
          </w:p>
        </w:tc>
      </w:tr>
      <w:tr>
        <w:trPr>
          <w:trHeight w:val="24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sz w:val="18"/>
                <w:szCs w:val="18"/>
              </w:rPr>
              <w:t>4</w:t>
            </w:r>
          </w:p>
        </w:tc>
      </w:tr>
      <w:tr>
        <w:trPr>
          <w:trHeight w:val="1128" w:hRule="atLeast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>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 «Об утверждении Правил оценки готовности к отопительному периоду», по оценке готовности к отопительному периоду теплоснабжающих и теплосетевых организаций, а также потребителей тепловой энергии:</w:t>
            </w:r>
          </w:p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left"/>
              <w:textAlignment w:val="auto"/>
              <w:rPr>
                <w:rFonts w:ascii="Liberation Serif" w:hAnsi="Liberation Serif" w:eastAsia="Calibri" w:cs="Liberation Serif"/>
                <w:b w:val="false"/>
                <w:b w:val="false"/>
                <w:sz w:val="22"/>
                <w:szCs w:val="22"/>
                <w:lang w:eastAsia="zh-CN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left"/>
              <w:textAlignment w:val="auto"/>
              <w:rPr>
                <w:rFonts w:ascii="Liberation Serif" w:hAnsi="Liberation Serif" w:eastAsia="Calibri" w:cs="Liberation Serif"/>
                <w:b w:val="false"/>
                <w:b w:val="false"/>
                <w:sz w:val="22"/>
                <w:szCs w:val="22"/>
                <w:lang w:eastAsia="zh-CN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2"/>
                <w:szCs w:val="22"/>
                <w:lang w:eastAsia="zh-CN" w:bidi="ar-SA"/>
              </w:rPr>
              <w:t>Температурные графики на предстоящий отопительный период.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textAlignment w:val="auto"/>
              <w:rPr>
                <w:rFonts w:ascii="Liberation Serif" w:hAnsi="Liberation Serif" w:eastAsia="Calibri" w:cs="Liberation Serif"/>
                <w:b w:val="false"/>
                <w:b w:val="false"/>
                <w:i/>
                <w:i/>
                <w:sz w:val="22"/>
                <w:szCs w:val="22"/>
                <w:lang w:eastAsia="zh-CN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i/>
                <w:sz w:val="22"/>
                <w:szCs w:val="22"/>
                <w:lang w:eastAsia="zh-CN" w:bidi="ar-SA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widowControl w:val="false"/>
              <w:tabs>
                <w:tab w:val="clear" w:pos="708"/>
              </w:tabs>
              <w:suppressAutoHyphens w:val="true"/>
              <w:bidi w:val="0"/>
              <w:ind w:left="33" w:right="0" w:hanging="0"/>
              <w:jc w:val="both"/>
              <w:textAlignment w:val="auto"/>
              <w:rPr>
                <w:rFonts w:ascii="Liberation Serif" w:hAnsi="Liberation Serif" w:eastAsia="Calibri" w:cs="Liberation Serif"/>
                <w:b w:val="false"/>
                <w:b w:val="false"/>
                <w:i/>
                <w:i/>
                <w:sz w:val="22"/>
                <w:szCs w:val="22"/>
                <w:lang w:eastAsia="zh-CN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i/>
                <w:sz w:val="22"/>
                <w:szCs w:val="22"/>
                <w:lang w:eastAsia="zh-CN" w:bidi="ar-SA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/>
            </w:pPr>
            <w:r>
              <w:rPr>
                <w:rStyle w:val="1"/>
                <w:rFonts w:cs="Liberation Serif" w:ascii="Liberation Serif" w:hAnsi="Liberation Serif"/>
                <w:color w:val="000000"/>
                <w:sz w:val="22"/>
                <w:szCs w:val="22"/>
                <w:highlight w:val="white"/>
              </w:rPr>
              <w:t>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График ограничения теплоснабжения при дефиците тепловой мощности тепловых источников и пропускной способности тепловых сетей.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cs="Liberation Serif"/>
                <w:i/>
                <w:i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sz w:val="22"/>
                <w:szCs w:val="22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33" w:right="0" w:hanging="0"/>
              <w:jc w:val="both"/>
              <w:rPr>
                <w:rFonts w:ascii="Liberation Serif" w:hAnsi="Liberation Serif" w:cs="Liberation Serif"/>
                <w:i/>
                <w:i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sz w:val="22"/>
                <w:szCs w:val="22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Расчет допустимого времени устранения аварийных нарушений теплоснабжения жилых домов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tabs>
                <w:tab w:val="clear" w:pos="708"/>
              </w:tabs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spacing w:lineRule="auto" w:line="230"/>
              <w:ind w:left="-15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График проверки знаний, утверждённый ответственным за исправное состояние и безопасную эксплуатацию тепловых энергоустановок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-15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График обучения (аттестации) сотрудников, занимающих должности, подлежащих обязательному обучению и аттестации в контрольных и надзорных органах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-15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Приказ о назначении ответственного за исправное состояние и безопасную эксплуатацию тепловых энергоустановок организации и его заместителя, а также в структурных подразделениях.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-15" w:right="0" w:hanging="0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cs="Liberation Serif" w:ascii="Liberation Serif" w:hAnsi="Liberation Serif"/>
                <w:color w:val="auto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Приказ о назначении ответственного за электрохозяйство организации (подразделений) и его заместителя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-15" w:right="0" w:hanging="0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cs="Liberation Serif" w:ascii="Liberation Serif" w:hAnsi="Liberation Serif"/>
                <w:color w:val="auto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Протоколы проверки знаний (аттестации), удостоверения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  <w:tab w:val="left" w:pos="0" w:leader="none"/>
              </w:tabs>
              <w:bidi w:val="0"/>
              <w:spacing w:lineRule="auto" w:line="230"/>
              <w:jc w:val="both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cs="Liberation Serif" w:ascii="Liberation Serif" w:hAnsi="Liberation Serif"/>
                <w:color w:val="auto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Утвержденный перечень эксплуатационной документации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Инструкции по эксплуатации тепловых энергоустановок и сетей, а также должностные инструкции на рабочих местах и инструкции по охране труда согласно утверждённому перечню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Распорядительный документ об утверждении норм обеспечения средствами индивидуальной и коллективной защиты, спецодеждой персонала котельных и тепловых сетей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Утверждённый перечень комплектации инструментами и оснасткой, необходимых для производства работ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Утверждённый перечень комплектации оперативно-дежурного персонала средствами связи и транспортом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Утверждённый перечень аварийного запаса расходных материалов и запасных частей на котельных и тепловых сетях.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Оперативный план тушения пожара на котельной.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Технический отчет о наладке тепловых сетей.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Договора оказания услуг по передаче тепловой энергии, теплоносителя, заключенного теплосетевой организацией с теплоснабжающей организацией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Акты ввода в эксплуатацию узлов учета тепловой энергии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  <w:tab w:val="left" w:pos="0" w:leader="none"/>
              </w:tabs>
              <w:bidi w:val="0"/>
              <w:spacing w:lineRule="auto" w:line="242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Графики проведения гидравлических и тепловых испытаний тепловых сетей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Акты гидравлических и тепловых испытаний тепловых сетей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hd w:fill="FFFFFF" w:val="clear"/>
              <w:tabs>
                <w:tab w:val="clear" w:pos="708"/>
                <w:tab w:val="left" w:pos="0" w:leader="none"/>
              </w:tabs>
              <w:bidi w:val="0"/>
              <w:spacing w:lineRule="auto" w:line="242"/>
              <w:ind w:left="345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План подготовки к работе в отопительный период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2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42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/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 xml:space="preserve">Отчет о выполнении плана подготовки к работе в отопительный </w:t>
            </w:r>
            <w:r>
              <w:rPr>
                <w:rFonts w:eastAsia="Calibri" w:cs="Liberation Serif" w:ascii="Liberation Serif" w:hAnsi="Liberation Serif"/>
              </w:rPr>
              <w:t>период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График ремонта систем приема и разгрузки топлива, топливоприготовления и топливоподачи, акты выполнения ремонтных работ систем приема и разгрузки топлива, топливоприготовления и топливоподачи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Акты освидетельствования и испытания машин и механизмов, оборудования и приспособлений топливных складов и топливоподачи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Акты (заключения) технического обследования резервуаров хранения жидкого топлива и выполнение предложений по выполнению ремонтных работ и режима дальнейшей эксплуатации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Приказ о назначении лица, ответственного за газовое хозяйство (для котельных использующих газ в качестве основного топлива)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График химконтроля за водно-химическим режимом котельных и тепловых сетей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Отчёты о наладке водно-химического режима, наличие актов внутреннего осмотра основного оборудования котельной и отбора проб отложений и шлама.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  <w:tab w:val="left" w:pos="0" w:leader="none"/>
              </w:tabs>
              <w:bidi w:val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Акты контроля состояния металла тепловых сетей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 (технический отчет) о проведении технического диагностирования котлов.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Заключение экспертизы промышленной безопасности (на ОПО)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Паспорта тепловых энергоустановок, содержащие положительные результаты технического освидетельствования.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Графики текущих и капитальных ремонтов тепловых сетей и источников тепловой энергии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Отчет о выполнении графика текущих и капитальных ремонтов тепловых сетей и источников тепловой энергии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tabs>
                <w:tab w:val="clear" w:pos="708"/>
              </w:tabs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Распорядительный документ о назначении рабочей комиссии по приемке тепловых энергоустановок из капитального ремонта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 осеннего осмотра зданий и сооружений тепловых энергоустановок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Утверждённый в установленном порядке расчет нормативных запасов топлива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Акты инвентаризации топлива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Договоры поставки топлива, не допускающие перебоев поставки и снижения установленных нормативов запасов топлива.</w:t>
            </w:r>
          </w:p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 о соответствии качества топлива проекту котельной и установленному котельному оборудованию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Сертификаты на топливо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widowControl/>
              <w:shd w:fill="FFFFFF" w:val="clear"/>
              <w:tabs>
                <w:tab w:val="clear" w:pos="708"/>
              </w:tabs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 о разграничении эксплуатационной ответственности между потребителями тепловой энергии, теплоснабжающими и теплосетевыми организациями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 о разграничении балансовой принадлежности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Наличие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45.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Отчёт о выполнении предписаний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46.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color w:val="auto"/>
                <w:spacing w:val="0"/>
              </w:rPr>
              <w:t>Акт осмотра и проверки работоспособности (состояния) автоматических регуляторов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30"/>
              <w:ind w:left="0" w:right="0" w:hanging="0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  <w:t>Выполнено / Не выполнено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hd w:fill="FFFFFF" w:val="clear"/>
              <w:bidi w:val="0"/>
              <w:spacing w:lineRule="auto" w:line="230"/>
              <w:ind w:left="0" w:right="0" w:hanging="0"/>
              <w:jc w:val="both"/>
              <w:rPr>
                <w:rFonts w:ascii="Liberation Serif" w:hAnsi="Liberation Serif" w:eastAsia="Calibri" w:cs="Liberation Serif"/>
                <w:i/>
                <w:i/>
                <w:color w:val="auto"/>
                <w:spacing w:val="0"/>
              </w:rPr>
            </w:pPr>
            <w:r>
              <w:rPr>
                <w:rFonts w:eastAsia="Calibri" w:cs="Liberation Serif" w:ascii="Liberation Serif" w:hAnsi="Liberation Serif"/>
                <w:i/>
                <w:color w:val="auto"/>
                <w:spacing w:val="0"/>
              </w:rPr>
            </w:r>
          </w:p>
        </w:tc>
      </w:tr>
    </w:tbl>
    <w:p>
      <w:pPr>
        <w:pStyle w:val="2"/>
        <w:pBdr>
          <w:bottom w:val="single" w:sz="4" w:space="1" w:color="000000"/>
        </w:pBdr>
        <w:shd w:fill="FFFFFF" w:val="clear"/>
        <w:bidi w:val="0"/>
        <w:spacing w:lineRule="auto" w:line="230" w:before="0" w:after="0"/>
        <w:ind w:left="180" w:right="0" w:hanging="0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2"/>
        <w:pBdr>
          <w:bottom w:val="single" w:sz="4" w:space="1" w:color="000000"/>
        </w:pBdr>
        <w:shd w:fill="FFFFFF" w:val="clear"/>
        <w:bidi w:val="0"/>
        <w:spacing w:lineRule="auto" w:line="230" w:before="0" w:after="0"/>
        <w:ind w:left="180" w:right="0" w:hanging="0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>Готово/не готово</w:t>
      </w:r>
    </w:p>
    <w:p>
      <w:pPr>
        <w:pStyle w:val="Normal"/>
        <w:bidi w:val="0"/>
        <w:spacing w:lineRule="auto" w:line="230" w:before="0" w:after="0"/>
        <w:ind w:left="180" w:right="0" w:hanging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(готовность/неготовность к работе в отопительном периоде)</w:t>
      </w:r>
    </w:p>
    <w:p>
      <w:pPr>
        <w:pStyle w:val="ConsPlusNonformat"/>
        <w:bidi w:val="0"/>
        <w:spacing w:lineRule="auto" w:line="230"/>
        <w:ind w:left="0" w:right="0" w:hanging="0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ConsPlusNonformat"/>
        <w:bidi w:val="0"/>
        <w:spacing w:lineRule="auto" w:line="23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>
      <w:pPr>
        <w:pStyle w:val="ConsPlusNonformat"/>
        <w:bidi w:val="0"/>
        <w:spacing w:lineRule="auto" w:line="230"/>
        <w:ind w:left="0" w:right="0" w:hanging="0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p>
      <w:pPr>
        <w:pStyle w:val="ConsPlusNonformat"/>
        <w:pBdr>
          <w:bottom w:val="single" w:sz="12" w:space="1" w:color="000000"/>
        </w:pBdr>
        <w:bidi w:val="0"/>
        <w:spacing w:lineRule="auto" w:line="230"/>
        <w:ind w:left="0" w:right="0" w:hanging="0"/>
        <w:jc w:val="center"/>
        <w:rPr>
          <w:rFonts w:ascii="Liberation Serif" w:hAnsi="Liberation Serif" w:cs="Liberation Serif"/>
          <w:b/>
          <w:b/>
          <w:i/>
          <w:i/>
          <w:sz w:val="16"/>
          <w:szCs w:val="16"/>
        </w:rPr>
      </w:pPr>
      <w:r>
        <w:rPr>
          <w:rFonts w:cs="Liberation Serif" w:ascii="Liberation Serif" w:hAnsi="Liberation Serif"/>
          <w:b/>
          <w:i/>
          <w:sz w:val="16"/>
          <w:szCs w:val="16"/>
        </w:rPr>
      </w:r>
    </w:p>
    <w:p>
      <w:pPr>
        <w:pStyle w:val="ConsPlusNonformat"/>
        <w:bidi w:val="0"/>
        <w:spacing w:lineRule="auto" w:line="230"/>
        <w:ind w:left="0" w:right="0" w:hanging="0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>(наименование объекта)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Готово (не готово) к отопительному периоду 20  -20   гг.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spacing w:lineRule="auto" w:line="230" w:before="0" w:after="0"/>
        <w:ind w:left="0" w:right="0" w:hanging="0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Документы, рассмотренные комиссией:</w:t>
      </w:r>
    </w:p>
    <w:p>
      <w:pPr>
        <w:pStyle w:val="ConsPlusNonformat"/>
        <w:tabs>
          <w:tab w:val="clear" w:pos="708"/>
          <w:tab w:val="left" w:pos="0" w:leader="none"/>
        </w:tabs>
        <w:bidi w:val="0"/>
        <w:spacing w:lineRule="auto" w:line="230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</w:r>
    </w:p>
    <w:p>
      <w:pPr>
        <w:pStyle w:val="ConsPlusNonformat"/>
        <w:tabs>
          <w:tab w:val="clear" w:pos="708"/>
          <w:tab w:val="left" w:pos="0" w:leader="none"/>
        </w:tabs>
        <w:bidi w:val="0"/>
        <w:spacing w:lineRule="auto" w:line="230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>1.</w:t>
      </w:r>
    </w:p>
    <w:p>
      <w:pPr>
        <w:pStyle w:val="ConsPlusNonformat"/>
        <w:tabs>
          <w:tab w:val="clear" w:pos="708"/>
          <w:tab w:val="left" w:pos="0" w:leader="none"/>
        </w:tabs>
        <w:bidi w:val="0"/>
        <w:spacing w:lineRule="auto" w:line="230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>2.</w:t>
      </w:r>
    </w:p>
    <w:p>
      <w:pPr>
        <w:pStyle w:val="ConsPlusNonformat"/>
        <w:tabs>
          <w:tab w:val="clear" w:pos="708"/>
          <w:tab w:val="left" w:pos="0" w:leader="none"/>
        </w:tabs>
        <w:bidi w:val="0"/>
        <w:spacing w:lineRule="auto" w:line="230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>3.</w:t>
      </w:r>
    </w:p>
    <w:p>
      <w:pPr>
        <w:pStyle w:val="ConsPlusNonformat"/>
        <w:tabs>
          <w:tab w:val="clear" w:pos="708"/>
          <w:tab w:val="left" w:pos="0" w:leader="none"/>
        </w:tabs>
        <w:bidi w:val="0"/>
        <w:spacing w:lineRule="auto" w:line="230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>…</w:t>
      </w:r>
      <w:r>
        <w:rPr>
          <w:rFonts w:cs="Liberation Serif" w:ascii="Liberation Serif" w:hAnsi="Liberation Serif"/>
          <w:i/>
          <w:sz w:val="24"/>
          <w:szCs w:val="24"/>
        </w:rPr>
        <w:t>..</w:t>
      </w:r>
    </w:p>
    <w:p>
      <w:pPr>
        <w:pStyle w:val="ConsPlusNonformat"/>
        <w:tabs>
          <w:tab w:val="clear" w:pos="708"/>
          <w:tab w:val="left" w:pos="0" w:leader="none"/>
        </w:tabs>
        <w:bidi w:val="0"/>
        <w:spacing w:lineRule="auto" w:line="230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комиссии: ___________________________________________________ ФИО.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</w:rPr>
        <w:t>подпись, расшифровка подписи</w:t>
      </w:r>
      <w:r>
        <w:rPr>
          <w:rFonts w:cs="Liberation Serif" w:ascii="Liberation Serif" w:hAnsi="Liberation Serif"/>
          <w:sz w:val="24"/>
          <w:szCs w:val="24"/>
        </w:rPr>
        <w:t>)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Члены комиссии: _________________________________________________________ ФИО;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</w:rPr>
        <w:t>подпись, расшифровка подписи</w:t>
      </w:r>
      <w:r>
        <w:rPr>
          <w:rFonts w:cs="Liberation Serif" w:ascii="Liberation Serif" w:hAnsi="Liberation Serif"/>
          <w:sz w:val="24"/>
          <w:szCs w:val="24"/>
        </w:rPr>
        <w:t>)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jc w:val="both"/>
        <w:rPr/>
      </w:pPr>
      <w:r>
        <w:rPr>
          <w:rFonts w:eastAsia="Liberation Serif" w:cs="Liberation Serif" w:ascii="Liberation Serif" w:hAnsi="Liberation Serif"/>
          <w:sz w:val="24"/>
          <w:szCs w:val="24"/>
        </w:rPr>
        <w:t xml:space="preserve">                               </w:t>
      </w:r>
      <w:r>
        <w:rPr>
          <w:rFonts w:cs="Liberation Serif" w:ascii="Liberation Serif" w:hAnsi="Liberation Serif"/>
          <w:sz w:val="24"/>
          <w:szCs w:val="24"/>
        </w:rPr>
        <w:t>_________________________________________________________ ФИО;</w:t>
      </w:r>
    </w:p>
    <w:p>
      <w:pPr>
        <w:pStyle w:val="ConsPlusNonformat"/>
        <w:bidi w:val="0"/>
        <w:spacing w:lineRule="auto" w:line="23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jc w:val="both"/>
        <w:rPr/>
      </w:pPr>
      <w:r>
        <w:rPr>
          <w:rFonts w:eastAsia="Liberation Serif" w:cs="Liberation Serif" w:ascii="Liberation Serif" w:hAnsi="Liberation Serif"/>
          <w:sz w:val="24"/>
          <w:szCs w:val="24"/>
        </w:rPr>
        <w:t xml:space="preserve">                               </w:t>
      </w:r>
      <w:r>
        <w:rPr>
          <w:rFonts w:cs="Liberation Serif" w:ascii="Liberation Serif" w:hAnsi="Liberation Serif"/>
          <w:sz w:val="24"/>
          <w:szCs w:val="24"/>
        </w:rPr>
        <w:t>_________________________________________________________ ФИО.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</w:rPr>
        <w:t>подпись, расшифровка подписи</w:t>
      </w:r>
      <w:r>
        <w:rPr>
          <w:rFonts w:cs="Liberation Serif" w:ascii="Liberation Serif" w:hAnsi="Liberation Serif"/>
          <w:sz w:val="24"/>
          <w:szCs w:val="24"/>
        </w:rPr>
        <w:t>)</w:t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 актом проверки готовности ознакомлен, один экземпляр акта на руки получил:</w:t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"__" _____________ 20__ г. </w:t>
      </w:r>
    </w:p>
    <w:p>
      <w:pPr>
        <w:pStyle w:val="ConsPlusNonformat"/>
        <w:bidi w:val="0"/>
        <w:spacing w:lineRule="auto" w:line="230"/>
        <w:ind w:left="0" w:right="0" w:hanging="0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cs="Liberation Serif" w:ascii="Liberation Serif" w:hAnsi="Liberation Serif"/>
          <w:sz w:val="24"/>
          <w:szCs w:val="24"/>
          <w:u w:val="single"/>
        </w:rPr>
      </w:r>
    </w:p>
    <w:p>
      <w:pPr>
        <w:pStyle w:val="ConsPlusNonformat"/>
        <w:bidi w:val="0"/>
        <w:spacing w:lineRule="auto" w:line="230"/>
        <w:ind w:left="0" w:right="0" w:hanging="0"/>
        <w:rPr/>
      </w:pPr>
      <w:r>
        <w:rPr>
          <w:rFonts w:eastAsia="Liberation Serif" w:cs="Liberation Serif" w:ascii="Liberation Serif" w:hAnsi="Liberation Serif"/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rFonts w:eastAsia="Liberation Serif" w:cs="Liberation Serif" w:ascii="Liberation Serif" w:hAnsi="Liberation Serif"/>
          <w:color w:val="000000"/>
          <w:sz w:val="24"/>
          <w:szCs w:val="24"/>
          <w:u w:val="single"/>
        </w:rPr>
        <w:t xml:space="preserve">                      </w:t>
      </w:r>
      <w:r>
        <w:rPr>
          <w:rFonts w:cs="Liberation Serif" w:ascii="Liberation Serif" w:hAnsi="Liberation Serif"/>
          <w:color w:val="000000"/>
          <w:sz w:val="24"/>
          <w:szCs w:val="24"/>
        </w:rPr>
        <w:t>/ _______________</w:t>
      </w:r>
      <w:r>
        <w:rPr>
          <w:rFonts w:cs="Liberation Serif" w:ascii="Liberation Serif" w:hAnsi="Liberation Serif"/>
          <w:color w:val="000000"/>
          <w:sz w:val="24"/>
          <w:szCs w:val="24"/>
          <w:u w:val="single"/>
        </w:rPr>
        <w:t>Ф И О</w:t>
      </w:r>
      <w:r>
        <w:rPr>
          <w:rFonts w:cs="Liberation Serif" w:ascii="Liberation Serif" w:hAnsi="Liberation Serif"/>
          <w:color w:val="000000"/>
          <w:sz w:val="24"/>
          <w:szCs w:val="24"/>
        </w:rPr>
        <w:t>/</w:t>
      </w:r>
    </w:p>
    <w:p>
      <w:pPr>
        <w:pStyle w:val="ConsPlusNonformat"/>
        <w:bidi w:val="0"/>
        <w:spacing w:lineRule="auto" w:line="23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</w:t>
      </w:r>
      <w:r>
        <w:rPr>
          <w:rFonts w:cs="Times New Roman" w:ascii="Times New Roman" w:hAnsi="Times New Roman"/>
        </w:rPr>
        <w:t>овности к отопительному периоду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Style29"/>
        <w:rPr>
          <w:rFonts w:ascii="Liberation Serif" w:hAnsi="Liberation Serif" w:eastAsia="Calibri" w:cs="Liberation Serif"/>
          <w:sz w:val="24"/>
          <w:szCs w:val="24"/>
          <w:lang w:val="ru-RU" w:eastAsia="ru-RU" w:bidi="ar-SA"/>
        </w:rPr>
      </w:pPr>
      <w:r>
        <w:rPr>
          <w:rFonts w:eastAsia="Calibri" w:cs="Liberation Serif" w:ascii="Liberation Serif" w:hAnsi="Liberation Serif"/>
          <w:sz w:val="24"/>
          <w:szCs w:val="24"/>
          <w:lang w:val="ru-RU" w:eastAsia="ru-RU" w:bidi="ar-S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4706" w:right="0" w:hanging="0"/>
        <w:jc w:val="both"/>
        <w:rPr/>
      </w:pPr>
      <w:r>
        <w:rPr>
          <w:rStyle w:val="Style15"/>
          <w:b w:val="false"/>
          <w:sz w:val="24"/>
          <w:szCs w:val="24"/>
        </w:rPr>
        <w:t xml:space="preserve">Приложение №2   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Style w:val="Style15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b w:val="false"/>
          <w:sz w:val="24"/>
          <w:szCs w:val="24"/>
        </w:rPr>
        <w:t>к отопительному периоду 20</w:t>
      </w:r>
      <w:r>
        <w:rPr>
          <w:rStyle w:val="Style15"/>
          <w:b w:val="false"/>
          <w:sz w:val="24"/>
          <w:szCs w:val="24"/>
        </w:rPr>
        <w:t>20</w:t>
      </w:r>
      <w:r>
        <w:rPr>
          <w:rStyle w:val="Style15"/>
          <w:b w:val="false"/>
          <w:sz w:val="24"/>
          <w:szCs w:val="24"/>
        </w:rPr>
        <w:t>/202</w:t>
      </w:r>
      <w:r>
        <w:rPr>
          <w:rStyle w:val="Style15"/>
          <w:b w:val="false"/>
          <w:sz w:val="24"/>
          <w:szCs w:val="24"/>
        </w:rPr>
        <w:t>1</w:t>
      </w:r>
      <w:r>
        <w:rPr>
          <w:rStyle w:val="Style15"/>
          <w:b w:val="false"/>
          <w:sz w:val="24"/>
          <w:szCs w:val="24"/>
        </w:rPr>
        <w:t xml:space="preserve"> года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</w:t>
      </w:r>
      <w:r>
        <w:rPr>
          <w:rStyle w:val="Style15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</w:t>
      </w:r>
      <w:r>
        <w:rPr>
          <w:rStyle w:val="Style15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</w:t>
      </w:r>
      <w:r>
        <w:rPr>
          <w:rStyle w:val="Style15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 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 </w:t>
      </w:r>
    </w:p>
    <w:p>
      <w:pPr>
        <w:pStyle w:val="Normal"/>
        <w:jc w:val="center"/>
        <w:rPr/>
      </w:pPr>
      <w:r>
        <w:rPr>
          <w:rStyle w:val="Style15"/>
          <w:b w:val="false"/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rStyle w:val="Style15"/>
          <w:b w:val="false"/>
          <w:sz w:val="28"/>
          <w:szCs w:val="28"/>
        </w:rPr>
        <w:t>готовности к отопительному периоду _______/______ г.г.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Выдан________________________________________________________________________,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(</w:t>
      </w:r>
      <w:r>
        <w:rPr>
          <w:rStyle w:val="Style15"/>
          <w:b w:val="false"/>
        </w:rPr>
        <w:t>полное наименование,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1._______________________;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2._______________________;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3._______________________;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Основание выдачи паспорта готовности к отопительному периоду: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Акт проверки готовности к отопительному периоду от __________ N_________.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 </w:t>
      </w:r>
    </w:p>
    <w:p>
      <w:pPr>
        <w:pStyle w:val="Normal"/>
        <w:jc w:val="right"/>
        <w:rPr/>
      </w:pPr>
      <w:r>
        <w:rPr>
          <w:rStyle w:val="Style15"/>
          <w:b w:val="false"/>
          <w:sz w:val="28"/>
          <w:szCs w:val="28"/>
        </w:rPr>
        <w:t>___________________________</w:t>
      </w:r>
    </w:p>
    <w:p>
      <w:pPr>
        <w:pStyle w:val="Normal"/>
        <w:jc w:val="right"/>
        <w:rPr/>
      </w:pPr>
      <w:r>
        <w:rPr>
          <w:rStyle w:val="Style15"/>
          <w:b w:val="false"/>
        </w:rPr>
        <w:t>(подпись, расшифровка подписи и печать</w:t>
      </w:r>
    </w:p>
    <w:p>
      <w:pPr>
        <w:pStyle w:val="Normal"/>
        <w:jc w:val="right"/>
        <w:rPr/>
      </w:pPr>
      <w:r>
        <w:rPr>
          <w:rStyle w:val="Style15"/>
          <w:b w:val="false"/>
        </w:rPr>
        <w:t xml:space="preserve"> </w:t>
      </w:r>
      <w:r>
        <w:rPr>
          <w:rStyle w:val="Style15"/>
          <w:b w:val="false"/>
        </w:rPr>
        <w:t>уполномоченного органа, образовавшего</w:t>
      </w:r>
    </w:p>
    <w:p>
      <w:pPr>
        <w:pStyle w:val="Normal"/>
        <w:jc w:val="right"/>
        <w:rPr/>
      </w:pPr>
      <w:r>
        <w:rPr>
          <w:rStyle w:val="Style15"/>
          <w:b w:val="false"/>
        </w:rPr>
        <w:t xml:space="preserve"> </w:t>
      </w:r>
      <w:r>
        <w:rPr>
          <w:rStyle w:val="Style15"/>
          <w:b w:val="false"/>
        </w:rPr>
        <w:t>комиссию по проведению проверки</w:t>
      </w:r>
    </w:p>
    <w:p>
      <w:pPr>
        <w:pStyle w:val="Normal"/>
        <w:jc w:val="right"/>
        <w:rPr/>
      </w:pPr>
      <w:r>
        <w:rPr>
          <w:rStyle w:val="Style15"/>
          <w:b w:val="false"/>
        </w:rPr>
        <w:t xml:space="preserve"> </w:t>
      </w:r>
      <w:r>
        <w:rPr>
          <w:rStyle w:val="Style15"/>
          <w:b w:val="false"/>
        </w:rPr>
        <w:t>готовности к отопительному периоду)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rPr>
          <w:rStyle w:val="Style15"/>
          <w:b w:val="false"/>
          <w:b w:val="false"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bidi w:val="0"/>
        <w:ind w:left="4706" w:right="0" w:hanging="0"/>
        <w:rPr/>
      </w:pPr>
      <w:r>
        <w:rPr>
          <w:rStyle w:val="Style15"/>
          <w:b w:val="false"/>
          <w:sz w:val="24"/>
          <w:szCs w:val="24"/>
        </w:rPr>
        <w:t xml:space="preserve">Приложение №3    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         </w:t>
      </w:r>
      <w:r>
        <w:rPr>
          <w:rStyle w:val="Style15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b w:val="false"/>
          <w:sz w:val="24"/>
          <w:szCs w:val="24"/>
        </w:rPr>
        <w:t>к отопительному периоду 20</w:t>
      </w:r>
      <w:r>
        <w:rPr>
          <w:rStyle w:val="Style15"/>
          <w:b w:val="false"/>
          <w:sz w:val="24"/>
          <w:szCs w:val="24"/>
        </w:rPr>
        <w:t>20</w:t>
      </w:r>
      <w:r>
        <w:rPr>
          <w:rStyle w:val="Style15"/>
          <w:b w:val="false"/>
          <w:sz w:val="24"/>
          <w:szCs w:val="24"/>
        </w:rPr>
        <w:t>/202</w:t>
      </w:r>
      <w:r>
        <w:rPr>
          <w:rStyle w:val="Style15"/>
          <w:b w:val="false"/>
          <w:sz w:val="24"/>
          <w:szCs w:val="24"/>
        </w:rPr>
        <w:t>1</w:t>
      </w:r>
      <w:r>
        <w:rPr>
          <w:rStyle w:val="Style15"/>
          <w:b w:val="false"/>
          <w:sz w:val="24"/>
          <w:szCs w:val="24"/>
        </w:rPr>
        <w:t xml:space="preserve"> года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</w:t>
      </w:r>
      <w:r>
        <w:rPr>
          <w:rStyle w:val="Style15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</w:t>
      </w:r>
      <w:r>
        <w:rPr>
          <w:rStyle w:val="Style15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</w:t>
      </w:r>
      <w:r>
        <w:rPr>
          <w:rStyle w:val="Style15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 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>Требования по готовности к отопительному периоду для теплоснабжающих и теплосетевых организаций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 xml:space="preserve">       </w:t>
      </w:r>
      <w:r>
        <w:rPr>
          <w:rStyle w:val="Style15"/>
          <w:b w:val="false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4) наличие нормативных запасов топлива на источниках тепловой энергии;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   укомплектованность указанных служб персоналом;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нормативно-технической и оперативной документацией, инструкциями, схемами,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   первичными средствами пожаротушения;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6) проведение наладки принадлежащих им тепловых сетей;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7) организация контроля режимов потребления тепловой энергии;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8) обеспечение качества теплоносителей;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  соблюдение водно-химического режима;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 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  проведение гидравлических и тепловых испытаний тепловых сетей;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-  наличие договоров поставки топлива, не допускающих перебоев поставки и снижения установленных нормативов запасов топлива;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14) работоспособность автоматических регуляторов при их наличии.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>      </w:t>
      </w:r>
      <w:r>
        <w:rPr>
          <w:rStyle w:val="Style15"/>
          <w:b w:val="false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 xml:space="preserve">     </w:t>
      </w:r>
      <w:r>
        <w:rPr>
          <w:rStyle w:val="Style15"/>
          <w:b w:val="false"/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настоящего Приложения 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tyle15"/>
          <w:b w:val="false"/>
        </w:rPr>
        <w:t xml:space="preserve">                                                                  </w:t>
      </w:r>
    </w:p>
    <w:p>
      <w:pPr>
        <w:pStyle w:val="Normal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           </w:t>
      </w:r>
      <w:r>
        <w:rPr>
          <w:rStyle w:val="Style15"/>
          <w:b w:val="false"/>
          <w:sz w:val="24"/>
          <w:szCs w:val="24"/>
        </w:rPr>
        <w:t xml:space="preserve">Приложение № 4    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        </w:t>
      </w:r>
      <w:r>
        <w:rPr>
          <w:rStyle w:val="Style15"/>
          <w:b w:val="false"/>
          <w:sz w:val="24"/>
          <w:szCs w:val="24"/>
        </w:rPr>
        <w:t>к Программе проведения проверки готовности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    </w:t>
      </w:r>
      <w:r>
        <w:rPr>
          <w:rStyle w:val="Style15"/>
          <w:b w:val="false"/>
          <w:sz w:val="24"/>
          <w:szCs w:val="24"/>
        </w:rPr>
        <w:t>к отопительному периоду 20</w:t>
      </w:r>
      <w:r>
        <w:rPr>
          <w:rStyle w:val="Style15"/>
          <w:b w:val="false"/>
          <w:sz w:val="24"/>
          <w:szCs w:val="24"/>
        </w:rPr>
        <w:t>20</w:t>
      </w:r>
      <w:r>
        <w:rPr>
          <w:rStyle w:val="Style15"/>
          <w:b w:val="false"/>
          <w:sz w:val="24"/>
          <w:szCs w:val="24"/>
        </w:rPr>
        <w:t>/202</w:t>
      </w:r>
      <w:r>
        <w:rPr>
          <w:rStyle w:val="Style15"/>
          <w:b w:val="false"/>
          <w:sz w:val="24"/>
          <w:szCs w:val="24"/>
        </w:rPr>
        <w:t>1</w:t>
      </w:r>
      <w:r>
        <w:rPr>
          <w:rStyle w:val="Style15"/>
          <w:b w:val="false"/>
          <w:sz w:val="24"/>
          <w:szCs w:val="24"/>
        </w:rPr>
        <w:t xml:space="preserve"> года.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</w:t>
      </w:r>
      <w:r>
        <w:rPr>
          <w:rStyle w:val="Style15"/>
          <w:b w:val="false"/>
          <w:sz w:val="24"/>
          <w:szCs w:val="24"/>
        </w:rPr>
        <w:t xml:space="preserve">теплоснабжающих организаций 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</w:t>
      </w:r>
      <w:r>
        <w:rPr>
          <w:rStyle w:val="Style15"/>
          <w:b w:val="false"/>
          <w:sz w:val="24"/>
          <w:szCs w:val="24"/>
        </w:rPr>
        <w:t>и потребителей  тепловой энергии</w:t>
      </w:r>
    </w:p>
    <w:p>
      <w:pPr>
        <w:pStyle w:val="Normal"/>
        <w:jc w:val="center"/>
        <w:rPr/>
      </w:pPr>
      <w:r>
        <w:rPr>
          <w:rStyle w:val="Style15"/>
          <w:b w:val="false"/>
          <w:sz w:val="24"/>
          <w:szCs w:val="24"/>
        </w:rPr>
        <w:t xml:space="preserve">                                                               </w:t>
      </w:r>
      <w:r>
        <w:rPr>
          <w:rStyle w:val="Style15"/>
          <w:b w:val="false"/>
          <w:sz w:val="24"/>
          <w:szCs w:val="24"/>
        </w:rPr>
        <w:t>по Камышловскому городскому округу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>Требования по готовности к отопительному периоду</w:t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 xml:space="preserve"> </w:t>
      </w:r>
      <w:r>
        <w:rPr>
          <w:rStyle w:val="Style15"/>
          <w:sz w:val="28"/>
          <w:szCs w:val="28"/>
        </w:rPr>
        <w:t>для потребителей тепловой энергии</w:t>
      </w:r>
    </w:p>
    <w:p>
      <w:pPr>
        <w:pStyle w:val="Normal"/>
        <w:jc w:val="both"/>
        <w:rPr/>
      </w:pPr>
      <w:r>
        <w:rPr>
          <w:rStyle w:val="Style15"/>
          <w:b w:val="false"/>
          <w:sz w:val="28"/>
          <w:szCs w:val="28"/>
        </w:rPr>
        <w:t xml:space="preserve">     </w:t>
      </w:r>
      <w:r>
        <w:rPr>
          <w:rStyle w:val="Style15"/>
          <w:b w:val="false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3) разработка эксплуатационных режимов, а также мероприятий по их внедрению;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4) выполнение плана ремонтных работ и качество их выполнения;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5) состояние тепловых сетей, принадлежащих потребителю тепловой энергии;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9) работоспособность защиты систем теплопотребления;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12) плотность оборудования тепловых пунктов;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13) наличие пломб на расчетных шайбах и соплах элеваторов;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>
      <w:pPr>
        <w:pStyle w:val="Normal"/>
        <w:ind w:left="0" w:right="0" w:firstLine="426"/>
        <w:jc w:val="both"/>
        <w:rPr/>
      </w:pPr>
      <w:r>
        <w:rPr>
          <w:rStyle w:val="Style15"/>
          <w:b w:val="false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Российской Федерации от 12 марта 2013г. № 103 «Об утверждении Правил оценки готовности к отопительному периоду».</w:t>
      </w:r>
    </w:p>
    <w:p>
      <w:pPr>
        <w:pStyle w:val="Normal"/>
        <w:widowControl w:val="false"/>
        <w:suppressAutoHyphens w:val="true"/>
        <w:bidi w:val="0"/>
        <w:ind w:left="0" w:right="0" w:firstLine="510"/>
        <w:jc w:val="both"/>
        <w:rPr/>
      </w:pPr>
      <w:r>
        <w:rPr>
          <w:rStyle w:val="Style15"/>
          <w:b w:val="false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8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Style w:val="Style15"/>
                <w:rFonts w:ascii="Liberation Serif" w:hAnsi="Liberation Serif"/>
                <w:sz w:val="28"/>
                <w:szCs w:val="28"/>
              </w:rPr>
              <w:t>УТВЕРЖДЕН</w:t>
            </w:r>
          </w:p>
          <w:p>
            <w:pPr>
              <w:pStyle w:val="Normal"/>
              <w:rPr/>
            </w:pP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 xml:space="preserve">постановлением </w:t>
            </w: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>администрации</w:t>
            </w: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rPr/>
            </w:pP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 xml:space="preserve">от </w:t>
            </w:r>
            <w:r>
              <w:rPr>
                <w:rStyle w:val="Style15"/>
                <w:rFonts w:eastAsia="Times New Roman" w:cs="Times New Roman" w:ascii="Liberation Serif" w:hAnsi="Liberation Serif"/>
                <w:b w:val="false"/>
                <w:bCs/>
                <w:color w:val="auto"/>
                <w:sz w:val="28"/>
                <w:szCs w:val="28"/>
                <w:lang w:val="ru-RU" w:eastAsia="zh-CN" w:bidi="ar-SA"/>
              </w:rPr>
              <w:t>28.05</w:t>
            </w: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>.20</w:t>
            </w: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>20</w:t>
            </w: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 xml:space="preserve">    № </w:t>
            </w:r>
            <w:r>
              <w:rPr>
                <w:rStyle w:val="Style15"/>
                <w:rFonts w:ascii="Liberation Serif" w:hAnsi="Liberation Serif"/>
                <w:b w:val="false"/>
                <w:sz w:val="28"/>
                <w:szCs w:val="28"/>
              </w:rPr>
              <w:t>366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 организации проведения проверки готовности к отопительному периоду 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/202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 теплоснабжающих организаций и потребителей тепловой энергии по Камышловскому городскому округу»</w:t>
            </w:r>
          </w:p>
        </w:tc>
      </w:tr>
    </w:tbl>
    <w:p>
      <w:pPr>
        <w:pStyle w:val="Normal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tyle15"/>
          <w:sz w:val="28"/>
          <w:szCs w:val="28"/>
        </w:rPr>
        <w:t>Состав комиссии по проведению проверки готовности к отопительному  периоду 20</w:t>
      </w:r>
      <w:r>
        <w:rPr>
          <w:rStyle w:val="Style15"/>
          <w:sz w:val="28"/>
          <w:szCs w:val="28"/>
        </w:rPr>
        <w:t>20</w:t>
      </w:r>
      <w:r>
        <w:rPr>
          <w:rStyle w:val="Style15"/>
          <w:sz w:val="28"/>
          <w:szCs w:val="28"/>
        </w:rPr>
        <w:t>/202</w:t>
      </w:r>
      <w:r>
        <w:rPr>
          <w:rStyle w:val="Style15"/>
          <w:sz w:val="28"/>
          <w:szCs w:val="28"/>
        </w:rPr>
        <w:t>1</w:t>
      </w:r>
      <w:r>
        <w:rPr>
          <w:rStyle w:val="Style15"/>
          <w:sz w:val="28"/>
          <w:szCs w:val="28"/>
        </w:rPr>
        <w:t xml:space="preserve"> года </w:t>
      </w:r>
      <w:r>
        <w:rPr>
          <w:b/>
          <w:sz w:val="28"/>
          <w:szCs w:val="28"/>
        </w:rPr>
        <w:t>теплоснабжающих, теплосетевых организаций и потребителей тепловой энергии по Камышловскому городскому округу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Председатель комиссии: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Половников А.В. – глава Камышловского городского округа.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Бессонов Е.А. – первый заместитель главы администрации Камышловского городского округа. 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Потапова И.Д. – главный специалист отдела жилищно-коммунального и городского хозяйства администрации Камышловского городского округа – секретарь комиссии.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А.А. – заместитель главы администрации Камышловского городского округа;  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Семенова Л.А. – начальник отдела жилищно-коммунального и городского хозяйства  администрации Камышловского городского округа;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Е.В.  –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Гуляев В.Ж.  – ведущий специалист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Уральского управления Ростехнадзора (по согласованию).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5" w:hanging="360"/>
      </w:pPr>
      <w:rPr>
        <w:rFonts w:ascii="Liberation Serif" w:hAnsi="Liberation Serif" w:eastAsia="Calibri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Character20style">
    <w:name w:val="Character_20_style"/>
    <w:qFormat/>
    <w:rPr/>
  </w:style>
  <w:style w:type="character" w:styleId="DefaultParagraphFont">
    <w:name w:val="Default Paragraph Font"/>
    <w:qFormat/>
    <w:rPr/>
  </w:style>
  <w:style w:type="character" w:styleId="1">
    <w:name w:val="Основной текст1"/>
    <w:qFormat/>
    <w:rPr>
      <w:rFonts w:ascii="Times New Roman" w:hAnsi="Times New Roman"/>
      <w:i w:val="false"/>
      <w:caps w:val="false"/>
      <w:smallCaps w:val="false"/>
      <w:color w:val="000000"/>
      <w:spacing w:val="0"/>
      <w:w w:val="100"/>
      <w:sz w:val="23"/>
      <w:highlight w:val="white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Consplustitle">
    <w:name w:val="consplustit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5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sz w:val="22"/>
      <w:szCs w:val="22"/>
    </w:rPr>
  </w:style>
  <w:style w:type="paragraph" w:styleId="Nospacing">
    <w:name w:val="nospacing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6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Style27">
    <w:name w:val=" 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alibri" w:cs="Times New Roman"/>
      <w:color w:val="auto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2">
    <w:name w:val="Основной текст (2)"/>
    <w:basedOn w:val="Normal"/>
    <w:qFormat/>
    <w:pPr>
      <w:widowControl w:val="false"/>
      <w:shd w:fill="FFFFFF" w:val="clear"/>
      <w:suppressAutoHyphens w:val="true"/>
      <w:spacing w:lineRule="exact" w:line="274" w:before="300" w:after="240"/>
      <w:ind w:left="0" w:right="0" w:hanging="520"/>
      <w:jc w:val="center"/>
      <w:textAlignment w:val="auto"/>
    </w:pPr>
    <w:rPr>
      <w:rFonts w:ascii="Times New Roman" w:hAnsi="Times New Roman" w:eastAsia="Calibri" w:cs="Times New Roman"/>
      <w:b/>
      <w:bCs/>
      <w:sz w:val="23"/>
      <w:szCs w:val="23"/>
      <w:lang w:val="ru-RU" w:eastAsia="zh-CN" w:bidi="ar-SA"/>
    </w:rPr>
  </w:style>
  <w:style w:type="paragraph" w:styleId="3">
    <w:name w:val="Основной текст3"/>
    <w:basedOn w:val="Normal"/>
    <w:qFormat/>
    <w:pPr>
      <w:widowControl w:val="false"/>
      <w:shd w:fill="FFFFFF" w:val="clear"/>
      <w:suppressAutoHyphens w:val="true"/>
      <w:spacing w:lineRule="exact" w:line="317"/>
      <w:jc w:val="left"/>
      <w:textAlignment w:val="auto"/>
    </w:pPr>
    <w:rPr>
      <w:rFonts w:cs="Times New Roman"/>
      <w:color w:val="000000"/>
      <w:spacing w:val="6"/>
      <w:sz w:val="22"/>
      <w:szCs w:val="22"/>
      <w:lang w:val="ru-RU" w:eastAsia="zh-CN" w:bidi="ar-SA"/>
    </w:rPr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668</TotalTime>
  <Application>LibreOffice/6.3.4.2$Windows_X86_64 LibreOffice_project/60da17e045e08f1793c57c00ba83cdfce946d0aa</Application>
  <Pages>19</Pages>
  <Words>3901</Words>
  <CharactersWithSpaces>37764</CharactersWithSpaces>
  <Paragraphs>437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2015-06-10T09:29:00Z</dcterms:created>
  <dc:creator>kamgo@gov66.ru</dc:creator>
  <dc:description/>
  <dc:language>ru-RU</dc:language>
  <cp:lastModifiedBy/>
  <cp:lastPrinted>2020-05-28T15:44:56Z</cp:lastPrinted>
  <dcterms:modified xsi:type="dcterms:W3CDTF">2020-05-28T15:45:17Z</dcterms:modified>
  <cp:revision>48</cp:revision>
  <dc:subject/>
  <dc:title> </dc:title>
</cp:coreProperties>
</file>