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9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bidi w:val="0"/>
        <w:spacing w:lineRule="auto" w:line="240" w:before="0" w:after="0"/>
        <w:jc w:val="center"/>
        <w:rPr/>
      </w:pPr>
      <w:r>
        <w:rPr>
          <w:rStyle w:val="Style9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 w:val="false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02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.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.2020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74</w:t>
      </w:r>
      <w:r>
        <w:rPr>
          <w:rStyle w:val="Style9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5</w:t>
      </w:r>
    </w:p>
    <w:p>
      <w:pPr>
        <w:pStyle w:val="ConsPlusTitle"/>
        <w:widowControl w:val="false"/>
        <w:jc w:val="center"/>
        <w:rPr>
          <w:rStyle w:val="Style9"/>
          <w:rFonts w:ascii="Liberation Serif" w:hAnsi="Liberation Serif" w:cs="Times New Roman"/>
          <w:i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</w:t>
      </w:r>
    </w:p>
    <w:p>
      <w:pPr>
        <w:pStyle w:val="ConsPlusTitle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/>
          <w:i w:val="false"/>
          <w:iCs w:val="false"/>
          <w:sz w:val="28"/>
          <w:szCs w:val="28"/>
        </w:rPr>
        <w:t>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№30, от 17.06.2020 №406, от 29.07.2020 № 500,</w:t>
      </w:r>
    </w:p>
    <w:p>
      <w:pPr>
        <w:pStyle w:val="ConsPlusTitle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9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/>
          <w:i w:val="false"/>
          <w:iCs w:val="false"/>
          <w:sz w:val="28"/>
          <w:szCs w:val="28"/>
        </w:rPr>
        <w:t>от 27.08.2020 № 572)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24.09.2020 № 523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до 2020 года», 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№307, от 17.06.2020 №406, от 29.07.2020 №500, от 27.08.2020 № 572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9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2378148654,42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234647839,43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256914045,82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14071400,00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1130431641,53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83597100,00</w:t>
      </w:r>
    </w:p>
    <w:p>
      <w:pPr>
        <w:pStyle w:val="ConsPlusCell"/>
        <w:tabs>
          <w:tab w:val="clear" w:pos="709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982052767,07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9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9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136979339,43</w:t>
      </w:r>
    </w:p>
    <w:p>
      <w:pPr>
        <w:pStyle w:val="ConsPlusCell"/>
        <w:tabs>
          <w:tab w:val="clear" w:pos="709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9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2)</w:t>
      </w:r>
      <w:r>
        <w:rPr>
          <w:rStyle w:val="Style9"/>
          <w:rFonts w:ascii="Liberation Serif" w:hAnsi="Liberation Serif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Style w:val="Style9"/>
          <w:rFonts w:ascii="Liberation Serif" w:hAnsi="Liberation Serif"/>
          <w:sz w:val="28"/>
          <w:szCs w:val="28"/>
        </w:rPr>
        <w:t>» в 2020 году сумму «17904605,87 руб.» заменить на сумму «17604605,87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color w:val="000000"/>
          <w:sz w:val="28"/>
          <w:szCs w:val="28"/>
        </w:rPr>
        <w:t xml:space="preserve">в мероприятии «Сохранение объектов культурного наследия» </w:t>
      </w:r>
      <w:r>
        <w:rPr>
          <w:rStyle w:val="Style9"/>
          <w:rFonts w:ascii="Liberation Serif" w:hAnsi="Liberation Serif"/>
          <w:sz w:val="28"/>
          <w:szCs w:val="28"/>
        </w:rPr>
        <w:t>в 2020 году сумму «2205887,41 руб.» заменить на сумму «2805887,41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</w:r>
      <w:r>
        <w:rPr>
          <w:rStyle w:val="Style9"/>
          <w:rFonts w:ascii="Liberation Serif" w:hAnsi="Liberation Serif"/>
          <w:sz w:val="28"/>
          <w:szCs w:val="28"/>
        </w:rPr>
        <w:t>» в 2020 году сумму «250000,00 руб.» заменить на сумму «350000,00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«23031803,28 руб.» заменить на сумму «23431803,28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3) </w:t>
      </w:r>
      <w:r>
        <w:rPr>
          <w:rStyle w:val="Style9"/>
          <w:rFonts w:ascii="Liberation Serif" w:hAnsi="Liberation Serif"/>
          <w:b w:val="false"/>
          <w:sz w:val="28"/>
          <w:szCs w:val="28"/>
        </w:rPr>
        <w:t>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2020 году сумму «33058609,41 руб.» заменить на сумму «34107007,41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«36091999,41 руб.» заменить на сумму «37140397,41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ascii="Liberation Serif" w:hAnsi="Liberation Serif"/>
          <w:bCs/>
          <w:sz w:val="28"/>
          <w:szCs w:val="28"/>
        </w:rPr>
        <w:t>4)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cs="Liberation Serif" w:ascii="Liberation Serif" w:hAnsi="Liberation Serif"/>
          <w:sz w:val="28"/>
          <w:szCs w:val="28"/>
        </w:rPr>
        <w:t>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тепло-, водоснабжения и водоотведения»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«9177504,01 руб.» заменить на сумму «9752304,01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«13154379,21 руб.» заменить на сумму «13729179,21 руб.».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5) В подпрограмме «Благоустройство и озеленение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уличного освещения» в 2020 году сумму «10346668,26 руб.» заменить на сумму «10557988,26 руб.»;</w:t>
      </w:r>
    </w:p>
    <w:p>
      <w:pPr>
        <w:pStyle w:val="Style26"/>
        <w:overflowPunct w:val="true"/>
        <w:autoSpaceDE w:val="true"/>
        <w:ind w:left="0" w:right="0" w:firstLine="709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подпрограмме» в графе 3 сумму «24580149,90 руб.» заменить на сумму «24791469,90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деятельности муниципальных учреждений» в 2020 году сумму «24357560,01 руб.» заменить на сумму «24840976,01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«24484660,01 руб.» заменить на сумму «24968076,01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7) В подпрограмме «Охрана окружающей среды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«Ликвидация несанкционированных свалок» в 2020 году сумму «4937900,00 руб.» заменить на сумму «2715295,19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программе» в графе 3 сумму «6144339,00 руб.» заменить на сумму «3921734,19 руб.».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Normal"/>
        <w:widowControl/>
        <w:suppressAutoHyphens w:val="true"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tabs>
          <w:tab w:val="clear" w:pos="709"/>
          <w:tab w:val="left" w:pos="6780" w:leader="none"/>
        </w:tabs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>
      <w:pPr>
        <w:pStyle w:val="Style26"/>
        <w:widowControl w:val="false"/>
        <w:tabs>
          <w:tab w:val="clear" w:pos="709"/>
          <w:tab w:val="left" w:pos="6780" w:leader="none"/>
        </w:tabs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26"/>
        <w:widowControl w:val="false"/>
        <w:tabs>
          <w:tab w:val="clear" w:pos="709"/>
          <w:tab w:val="left" w:pos="6780" w:leader="none"/>
        </w:tabs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6"/>
        <w:widowControl w:val="false"/>
        <w:tabs>
          <w:tab w:val="clear" w:pos="709"/>
          <w:tab w:val="left" w:pos="6780" w:leader="none"/>
        </w:tabs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Style26"/>
        <w:widowControl w:val="false"/>
        <w:tabs>
          <w:tab w:val="clear" w:pos="709"/>
          <w:tab w:val="left" w:pos="6780" w:leader="none"/>
        </w:tabs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5534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 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 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 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 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 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 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 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 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 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 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 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 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 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 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 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 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 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 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 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 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 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 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 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 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 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 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 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 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22.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 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 xml:space="preserve">.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 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 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 Доля дорожно- строительной и коммунальной техники от общего количества техники.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 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 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 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 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 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 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 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 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 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 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 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 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 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 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 Прирост газифицированных домовладений (квартир) природным газом.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 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 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 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 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 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 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 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 Количество отремонтированных мест накопления ТКО.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35.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 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 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 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 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 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 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 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 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 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 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 Количество обустроенных остановочных комплексов.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47.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 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49.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 Доля построенных малоэтажных домов.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 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 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 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 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 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 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 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 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 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 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 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 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 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 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 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 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 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 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 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 Количество организаций, получивших поддержку.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 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 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 Создание новых рабочих мест.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 xml:space="preserve">74. 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 xml:space="preserve">75.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 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 xml:space="preserve">77. 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 xml:space="preserve">78. 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 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 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 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 Количество приема, обработки и передачи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 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 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 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 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 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 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 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 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 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 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 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 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 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 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 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 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 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 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 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 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 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 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 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 Количество информационных материалов.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 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 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 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 Исполнение бюджетной сметы.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 xml:space="preserve">115. 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 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 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 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 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 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 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 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 Площадь муниципального жилого фонда, за который оплачиваются взносы на капитальный ремонт.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 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 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 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 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 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 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 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9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 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2378148654,42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234647839,43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256914045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14071400,00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1130431641,53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83597100,00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982052767,07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136979339,43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3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907" w:top="1332" w:footer="0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WWCharLFO1LVL9">
    <w:name w:val="WW_CharLFO1LVL9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2">
    <w:name w:val="WW_CharLFO1LVL2"/>
    <w:qFormat/>
    <w:rPr>
      <w:b w:val="false"/>
      <w:i w:val="false"/>
    </w:rPr>
  </w:style>
  <w:style w:type="character" w:styleId="Blk">
    <w:name w:val="blk"/>
    <w:basedOn w:val="Style9"/>
    <w:qFormat/>
    <w:rPr/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en-US" w:val="ru-RU" w:bidi="hi-IN"/>
    </w:rPr>
  </w:style>
  <w:style w:type="paragraph" w:styleId="HTML1">
    <w:name w:val="Стандартный HTML"/>
    <w:basedOn w:val="Style26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cs="Arial" w:eastAsia="Tahom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9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33">
    <w:name w:val="Основной текст с отступом 3"/>
    <w:basedOn w:val="Style26"/>
    <w:qFormat/>
    <w:pPr>
      <w:tabs>
        <w:tab w:val="clear" w:pos="709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en-US" w:val="ru-RU" w:bidi="hi-IN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9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9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врезки"/>
    <w:basedOn w:val="Normal"/>
    <w:qFormat/>
    <w:pPr/>
    <w:rPr/>
  </w:style>
  <w:style w:type="paragraph" w:styleId="Style45">
    <w:name w:val="Содержимое таблицы"/>
    <w:basedOn w:val="Normal"/>
    <w:qFormat/>
    <w:pPr>
      <w:suppressLineNumbers/>
    </w:pPr>
    <w:rPr/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46">
    <w:name w:val="List"/>
    <w:basedOn w:val="Style25"/>
    <w:pPr/>
    <w:rPr>
      <w:rFonts w:ascii="Times New Roman" w:hAnsi="Times New Roman" w:cs="Arial"/>
    </w:rPr>
  </w:style>
  <w:style w:type="paragraph" w:styleId="Style47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29</Pages>
  <Words>4856</Words>
  <CharactersWithSpaces>41715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2020-10-27T05:41:00Z</dcterms:created>
  <dc:creator>отдел экономики</dc:creator>
  <dc:description/>
  <dc:language>ru-RU</dc:language>
  <cp:lastModifiedBy/>
  <cp:lastPrinted>2020-11-02T10:41:24Z</cp:lastPrinted>
  <dcterms:modified xsi:type="dcterms:W3CDTF">2020-11-02T10:44:50Z</dcterms:modified>
  <cp:revision>4</cp:revision>
  <dc:subject/>
  <dc:title/>
</cp:coreProperties>
</file>