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>
          <w:rStyle w:val="Style5"/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Style w:val="Style5"/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spacing w:before="0" w:after="0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4"/>
        <w:spacing w:before="0" w:after="0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spacing w:before="0" w:after="0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4"/>
        <w:tabs>
          <w:tab w:val="clear" w:pos="708"/>
          <w:tab w:val="left" w:pos="8222" w:leader="none"/>
        </w:tabs>
        <w:ind w:left="0" w:right="1" w:hanging="0"/>
        <w:rPr/>
      </w:pP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8"/>
          <w:lang w:val="ru-RU" w:eastAsia="ru-RU" w:bidi="ar-SA"/>
        </w:rPr>
        <w:t xml:space="preserve">от 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4"/>
          <w:lang w:val="ru-RU" w:eastAsia="ru-RU" w:bidi="ar-SA"/>
        </w:rPr>
        <w:t>2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4"/>
          <w:lang w:val="ru-RU" w:eastAsia="ru-RU" w:bidi="ar-SA"/>
        </w:rPr>
        <w:t>9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4"/>
          <w:lang w:val="ru-RU" w:eastAsia="ru-RU" w:bidi="ar-SA"/>
        </w:rPr>
        <w:t>.01.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8"/>
          <w:lang w:val="ru-RU" w:eastAsia="ru-RU" w:bidi="ar-SA"/>
        </w:rPr>
        <w:t xml:space="preserve">2021 N 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color w:val="00000A"/>
          <w:kern w:val="0"/>
          <w:sz w:val="28"/>
          <w:szCs w:val="28"/>
          <w:lang w:val="ru-RU" w:eastAsia="ru-RU" w:bidi="ar-SA"/>
        </w:rPr>
        <w:t>60</w:t>
      </w:r>
      <w:r>
        <w:rPr>
          <w:rStyle w:val="Style5"/>
          <w:rFonts w:cs="Times New Roman"/>
          <w:b/>
          <w:sz w:val="28"/>
          <w:szCs w:val="28"/>
        </w:rPr>
        <w:t xml:space="preserve">                                       </w:t>
      </w:r>
      <w:r>
        <w:rPr>
          <w:rStyle w:val="Style5"/>
          <w:sz w:val="28"/>
          <w:szCs w:val="28"/>
        </w:rPr>
        <w:tab/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Style w:val="Style5"/>
          <w:rFonts w:ascii="Liberation Serif" w:hAnsi="Liberation Serif"/>
          <w:b/>
          <w:b/>
          <w:bCs/>
          <w:i/>
          <w:i/>
          <w:iCs/>
          <w:sz w:val="28"/>
        </w:rPr>
      </w:pPr>
      <w:r>
        <w:rPr/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bCs/>
          <w:i w:val="false"/>
          <w:iCs w:val="false"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>по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</w:rPr>
        <w:t>вопросу предоставления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разрешения на условно разрешенный вид использования земельного участка – общественное питание, с кадастровым номером: 66:46:0103003:1778,  расположенного по адресу: Свердловская область, 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                    </w:t>
      </w:r>
      <w:r>
        <w:rPr>
          <w:rStyle w:val="Style5"/>
          <w:rFonts w:ascii="Liberation Serif" w:hAnsi="Liberation Serif"/>
          <w:b/>
          <w:i w:val="false"/>
          <w:iCs w:val="false"/>
          <w:sz w:val="28"/>
          <w:szCs w:val="28"/>
        </w:rPr>
        <w:t xml:space="preserve">г. Камышлов, ул. Свердлова, 95а                             </w:t>
      </w:r>
      <w:r>
        <w:rPr>
          <w:rStyle w:val="Style5"/>
          <w:rFonts w:ascii="Liberation Serif" w:hAnsi="Liberation Serif"/>
          <w:b/>
          <w:i/>
          <w:sz w:val="28"/>
          <w:szCs w:val="28"/>
        </w:rPr>
        <w:t xml:space="preserve">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 </w:t>
      </w: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дальнейшего строительства на земельном участке, с кадастровым номером 66:46:0103003:1778, расположенном по адресу: Свердловская область, г. Камышлов, ул. Свердлова, д. 95а, объекта общественного питания</w:t>
      </w:r>
      <w:r>
        <w:rPr>
          <w:rStyle w:val="Style5"/>
          <w:rFonts w:ascii="Liberation Serif" w:hAnsi="Liberation Serif"/>
          <w:sz w:val="28"/>
          <w:szCs w:val="28"/>
        </w:rPr>
        <w:t xml:space="preserve">,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 года,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учитывая заключение комиссии по землепользованию и застройке на территории Камышловского городского округа от 20.01.2021,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4"/>
        </w:numPr>
        <w:tabs>
          <w:tab w:val="left" w:pos="0" w:leader="none"/>
        </w:tabs>
        <w:ind w:left="0" w:right="-2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вопросу предоставления разрешения на условно разрешенный вид использования земельного участка – общественное питание, с кадастровым номером: 66:46:0103003:1778,  расположенного по адресу: Свердловская область, г. Камышлов, ул. Свердлова, 95а.</w:t>
      </w:r>
    </w:p>
    <w:p>
      <w:pPr>
        <w:pStyle w:val="Style23"/>
        <w:numPr>
          <w:ilvl w:val="0"/>
          <w:numId w:val="4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4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6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05.02.2021 года;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условно разрешенный вид использования земельного участка – общественное питание, с кадастровым номером: 66:46:0103003:1778, расположенного по адресу: Свердловская область, г. Камышлов, ул. Свердлова, 95а,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09.02.2021 года; </w:t>
      </w:r>
    </w:p>
    <w:p>
      <w:pPr>
        <w:pStyle w:val="Style23"/>
        <w:numPr>
          <w:ilvl w:val="0"/>
          <w:numId w:val="3"/>
        </w:numPr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условно разрешенный вид использования земельного участка – общественное питание, с кадастровым номером: 66:46:0103003:1778, расположенного по адресу: Свердловская область,  г. Камышлов, ул. Свердлова, д. 95а,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10.02.2021 по 25.02.2021;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 – общественное питание, с кадастровым номером 66:46:0103003:1778, расположенного по адресу: Свердловская область,                           г. Камышлов, ул. Свердлова, д. 95а,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10.02.2021 по 25.02.2021;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8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9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11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03.03.2021.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03.02.2021.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tabs>
          <w:tab w:val="clear" w:pos="708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rStyle w:val="Style5"/>
          <w:sz w:val="28"/>
          <w:szCs w:val="28"/>
        </w:rPr>
      </w:pPr>
      <w:r>
        <w:rPr/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2</Pages>
  <Words>464</Words>
  <CharactersWithSpaces>4217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2021-01-26T05:08:00Z</dcterms:created>
  <dc:creator>Архитектура</dc:creator>
  <dc:description/>
  <dc:language>ru-RU</dc:language>
  <cp:lastModifiedBy/>
  <cp:lastPrinted>2021-01-29T10:09:26Z</cp:lastPrinted>
  <dcterms:modified xsi:type="dcterms:W3CDTF">2021-01-29T10:10:38Z</dcterms:modified>
  <cp:revision>3</cp:revision>
  <dc:subject/>
  <dc:title>Градостроительный план земельного участка</dc:title>
</cp:coreProperties>
</file>