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 xml:space="preserve">от 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0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4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.08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.202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1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 xml:space="preserve">   № 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52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7</w:t>
      </w:r>
      <w:r>
        <w:rPr>
          <w:rStyle w:val="Style14"/>
          <w:rFonts w:eastAsia="Times New Roman" w:ascii="Liberation Serif" w:hAnsi="Liberation Serif"/>
          <w:kern w:val="2"/>
          <w:sz w:val="24"/>
          <w:lang w:eastAsia="ru-RU"/>
        </w:rPr>
        <w:t xml:space="preserve">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 межведомственной комиссии по обследованию мест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массового пребывания людей, расположенных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на территории Камышловского городского округа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В соответствии с федеральными законами от 6 марта 2006 года № 35- ФЗ «О противодействии терроризму»,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7"/>
        <w:widowControl w:val="false"/>
        <w:suppressAutoHyphens w:val="tru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ПОСТАНОВЛЯЕТ: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Утвердить Положение о межведомственной комиссии по обследованию мест массового пребывания людей, расположенных на территории Камышловского городского округа (приложение 1).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 Создать межведомственную комиссию по обследованию мест массового пребывания людей, расположенных на территории Камышловского городского округа.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Утвердить состав межведомственной комиссии по обследованию мест массового пребывания людей, расположенных на территории Камышловского городского округа (приложение 2).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Утвердить форму акта обследования и категорирования места массового пребывания людей в Камышловском городском округе (приложение 3).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Утвердить перечень мест массового пребывания людей, расположенных на территории Камышловского городского округа (приложение 4).</w:t>
        <w:tab/>
        <w:t xml:space="preserve">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6. Признать утратившими силу постановления главы Камышловского городского округа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от 04.06.2015 года № 825</w:t>
      </w:r>
      <w:r>
        <w:rPr/>
        <w:t xml:space="preserve"> «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О создании межведомственной комиссии по обследованию мест массового пребывания людей», от 27.10.2016 года    № 1110 «Об утверждении перечня мест массового пребывания людей, расположенных на территории Камышловского городского округа», постановление администрации Камышловского городского округа от 19.05.2020 N 335 «О внесении изменений в постановление главы Камышловского городского округа от 04.06.2015 года № 825 «О создании межведомственной комиссии по обследованию мест массового пребывания людей».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8. Настоящее постановление опубликовать в газете «Камышловские известия» и разместить на официальном сайте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в сети «Интернет».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1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УТВЕРЖДЕНО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постановлением администрации Камышловского городского округа 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04.08.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527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Положение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на территории Камышловского городского округа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1.</w:t>
        <w:tab/>
        <w:t>Общие положения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1.1. Межведомственная комиссия по обследованию мест массового пребывания людей, расположенных на территории Камышловского городского округа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людей, а также для установления дифференцированных требований к обеспечению их безопасности с учётом степени потенциальной опасности и угрозы совершения в местах массового пребывания людей, террористических актов и их возможных последствий.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Федерации, на территории которого расположено место массового пребывания людей.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здоровью.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1.2. В своей деятельности комиссия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требованиями к антитеррористической защищенности мест массового пребывания людей, утверждённых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постановлениями и распоряжениями Правительства Российской Федерации, иными нормативными правовыми актами Российской Федерации,   решениями Антитеррористической комиссии в Свердловской области, Антитеррористической комиссией Камышловского городского округа, а также настоящим Положением.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1.3. Комиссия имеет право: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проводить обследования и категорирование мест массового пребывания людей, подведомственных объектов и организаций, расположенных на территории Камышловского городского округа;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изучать конструктивные и технические характеристики объекта, организацию его функционирования, действующие меры по обеспечению безопасного функционирования объекта;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3) выявлять потенциально опасные участки объекта, его критические элементы;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определять степень угрозы совершения террористического акта на объекте и возможные последствия его совершения;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составлять акты обследования и категорирования мест массового пребывания людей, подведомственных объектов и организаций;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определять категорию объекта или подтверждает (изменяет) ранее присвоенную категорию;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участвовать в создании паспорта безопасности места массового пребывания людей и проведении его актуализации;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определять мероприятия по обеспечению антитеррористической защищенности мест массового пребывания людей;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осуществлять плановые и внеплановые обследования на предмет выполнения требований к антитеррористической защищенности мест массового пребывания людей, подведомственных объектов и организаций.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1.4. В зависимости от возможных последствий совершения террористического акта в местах массового пребывания людей устанавливаются категории мест массового пребывания людей согласно действующему законодательству.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2.</w:t>
        <w:tab/>
        <w:t>Порядок работы комиссии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2.1.</w:t>
        <w:tab/>
        <w:t>Состав комиссии утверждается постановлением администрации Камышловского городского округа.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2.2.</w:t>
        <w:tab/>
        <w:t>Комиссия</w:t>
        <w:tab/>
        <w:t>состоит из председателя, заместителя председателя, секретаря комиссии и членов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2.3. Комиссию возглавляет председатель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2.4. Председатель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инициирует проведение заседаний комиссии;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ведёт заседания комиссии;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подписывает акты обследования и категорирования мест массового пребывания людей, подведомственных объектов и организаций и другие документы, касающиеся исполнения полномочий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планирует деятельность Комиссии;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осуществляет контроль за выполнением требований к антитеррористической защищенности мест массового пребывания людей (далее – ММПЛ) посредством организации и проведения плановых и неплановых проверок.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2.5. Секретарь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ведет делопроизводство по вопросам осуществления деятельности;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2) оформляет протоколы заседаний, результаты работы;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обеспечивает сохранность документов, связанных с работой;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организует взаимодействие с территориальными органами безопасности, МВД России и МЧС России при проведении обследований и составлении паспортов безопасности ММПЛ;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5) контролирует своевременность их актуализации.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Также секретарь комиссии может осуществлять полномочия по заполнению актов обследования и паспортов безопасности ММПЛ.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2.6. Члены комиссии в соответствии с их компетенцией принимают участие в работе комиссии, выполняют поручения председателя комиссии или его заместителя в пределах компетенции органа (учреждения), который они представляют в составе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2.7. В состав комиссии включаются: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представители территориального органа безопасности;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3) представители территориального органа Министерства внутренних дел Российской Федерации;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представители войск национальной гвардии Российской Федерации.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2.9. Комиссией в ходе проведения обследования и категорирования ММПЛ определяется: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расположение на местности;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занимаемая площадь;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конфигурация периметра: общая протяженность и протяженность линейных участков (участков прямой видимости);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режим работы, наличие пропускного и внутриобъектового режимов и их обеспечение;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наличие потенциально опасных участков и критических элементов;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характеристика непосредственно прилегающей местности, наиболее вероятные пути проникновения посторонних лиц;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7) характеристика имеющихся инженерно-технических средств охраны и их состояние (ограждение, видеонаблюдение, оповещение и управление эвакуацией, освещение, охранная сигнализация, пожарная сигнализация и другое).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2.10. При проведении обследования и категорирования ММПЛ комиссия обращает особое внимание на: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реализацию организационных мероприятий по обеспечению антитеррористической защищенности ММПЛ;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соответствие инженерно-технической укрепленности ММПЛ предъявляемым Требованиям, ее достаточность для обеспечения надежной охраны;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полноту устранения недостатков, ранее выявленных при обследованиях ММПЛ и технических осмотрах инженерно-технических средств охраны, установленных на ММПЛ;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принятие правообладателем мер по повышению уровня защищенности ММПЛ путем модернизации (замены), установки дополнительных инженерно-технических средств и технических средств охраны;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работоспособность технических средств охраны, организацию их эксплуатационно-технического обслуживания.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2.11. Результаты работы комиссии оформляются актом обследования и категорирования места массового пребывания людей, подведомственных объектов и организаций который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и объектов.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После утверждения актов по одному экземпляру акта передается в территориальные органы безопасности, МВД и МЧС России. Один экземпляр предоставляется правообладателю ММПЛ.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2.12.</w:t>
        <w:tab/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2.13.</w:t>
        <w:tab/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2.14. 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6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Камышловского городского округа.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2.15.</w:t>
        <w:tab/>
        <w:t>Организационное и материально-техническое обеспечение деятельности комиссии осуществляется администрацией Камышловского городского округа.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2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УТВЕРЖДЁН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постановлением администрации Камышловского городского округа 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04.08.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527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Состав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межведомственной комиссии по обследованию мест массового пребывания людей,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расположенных на территории Камышловского городского округа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Председатель межведомственной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Половников Алексей Владимирович - глава Камышловского городского округа.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Заместитель председателя</w:t>
      </w:r>
      <w:r>
        <w:rPr>
          <w:rStyle w:val="Style14"/>
          <w:u w:val="single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межведомственной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Соболева Алёна Александровна – заместитель главы администрации Камышловского городского округа;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Секретарь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u w:val="single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u w:val="single"/>
          <w:lang w:eastAsia="ru-RU"/>
        </w:rPr>
        <w:t>Члены комиссии: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Попов Артём Евгеньевич – сотрудник отделения Федеральной службы безопасности Российской Федерации в г. Богданович (по согласованию);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Шипицын Юрий Михайлович - заместитель начальника по охране общественного порядка МО МВД РФ «Камышловский» (по согласованию);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Селиверстов Алексей Валерьевич – инспектор группы организации охраны объектов подлежащих обязательной охране Камышловского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Карасёв Тихон Иванович -   заместитель начальника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3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УТВЕРЖДЁН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постановлением администрации Камышловского городского округа 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04.08.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527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АКТ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обследования и категорирования места массового пребывания людей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в Камышловском городском округе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lang w:eastAsia="ru-RU"/>
        </w:rPr>
        <w:t>(полное и сокращенное (в скобках) наименование места с массовым пребыванием людей)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«___» _______ 202__ г.</w:t>
        <w:tab/>
        <w:t xml:space="preserve">                                                                      г. Камышлов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Комиссия в составе: </w:t>
      </w:r>
    </w:p>
    <w:tbl>
      <w:tblPr>
        <w:tblW w:w="9730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6"/>
        <w:gridCol w:w="4954"/>
      </w:tblGrid>
      <w:tr>
        <w:trPr>
          <w:trHeight w:val="298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 xml:space="preserve">Фамилия, имя, отчество   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/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Должность</w:t>
            </w:r>
          </w:p>
        </w:tc>
      </w:tr>
      <w:tr>
        <w:trPr>
          <w:trHeight w:val="298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7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2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2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2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2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2" w:hRule="exact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действующая в соответствие с требованиями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и на основании Постановления администрации Камышловского городского округа от «__» _____ 2021 года № ___ «О межведомственной комиссии по обследованию мест массового пребывания людей, подведомственных объектов и организаций, расположенных на территории Камышловского городского округа», осуществила обследование состояния антитеррористической защищённости данного объекта и рассмотрела следующие исходные данные, представленные для проведения категорирования объекта.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1. Общие сведения об объекте _________________________________: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1.1. Адрес места расположения ММПЛ: __________________________________________________________________;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Ведомственная принадлежность (собственность):______________________________________________________________________________________________________________________;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Основное функциональное назначение________________________________________________________;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Дата и реквизиты решения об отнесении к месту массового пребывания людей: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1.2. Режим работы (функционирования)________________________________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1.3. Занимаемая площадь/протяженность периметра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Кол-во зданий (корпусов), в которых размещено учреждение: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Тип здания (зданий): _______________________________________________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Количество этажей в здании: _________________________________________ 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Количество выходов в здании: 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Количество запасных выходов в здании: 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Наличие КПП, его состояние и инженерно-техническая укрепленность: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Наличие подсобных помещений и дополнительных строений 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(при наличии указать - на внутренней или внешней территории учреждения)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хранения взрывоопасных и химических веществ (при наличии):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комнаты техперсонала, вахтерские и др. (где расположены): 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чердачных помещений: 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подвальных помещений: 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Возможность бесконтрольного доступа к чердачным и подвальным помещениям посторонних лиц: 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Техническое состояние окон (материал рам, наличие решеток и запоров):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</w:t>
        <w:tab/>
        <w:t>Прилегающие объекты к _____________________________________: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опасные производства 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предприятия 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здания 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сооружения 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жилые дома 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объекты массового скопления людей 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расположение объекта по отношению к транспортным коммуникациям: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авто: 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ж/д: 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водным 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сведения об объекте 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2. Общие сведения о количестве людей на 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Сведения о персонале ___________________________________________: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сотрудников по штату 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посетителей в день (макс.) 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людей в смену по штату (макс.) 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Режим работы учреждения: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Круглосуточно с ____ до _____, в рабочие дни с _____ до ______, в выходные дни с _____ до ______ .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людей на объекте (макс.):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дневное время 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ночное время 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3. сведения о потенциально опасных участках и (или) критических элементах объекта (территории)</w:t>
      </w:r>
      <w:r>
        <w:rPr>
          <w:rStyle w:val="Style14"/>
          <w:rFonts w:ascii="Liberation Serif" w:hAnsi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Организация охраны __________________ техническими средствами: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Система (системы) видеонаблюдения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(имеется/отсутствует)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4.1.1. Количество видеокамер _________, из них находится в исправном состоянии 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4.1.2. Видеоизображение в онлайн-режиме выводится __________________________________________________________________ 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4.1.3.</w:t>
        <w:tab/>
        <w:t>Хранение видеоинформации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(осуществляется/не осуществляется/ количество дней)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4.1.4.</w:t>
        <w:tab/>
        <w:t>Зона охвата видеонаблюдения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4.1.5. Дополнительная информация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 наличии нескольких систем видеонаблюдения в месте массового пребывания людей, принадлежащих разным собственникам, указывается информация по п.4.1.1-4.1.3)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</w:t>
        <w:tab/>
        <w:t>Пожарная сигнализация и средства пожаротушения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4.2.1.</w:t>
        <w:tab/>
        <w:t>Наличие и состояние пожарной сигнализации: _________________________________________________________________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4.2.2.</w:t>
        <w:tab/>
        <w:t>Наличие и состояние средств пожаротушения: 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4.2.3.</w:t>
        <w:tab/>
        <w:t>Дополнительные сведения по пожарной безопасности: 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4.2.4.</w:t>
        <w:tab/>
        <w:t>Техническое обслуживание средств сигнализации осуществляет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организации, дата заключения договора, № договора)</w:t>
      </w:r>
    </w:p>
    <w:p>
      <w:pPr>
        <w:pStyle w:val="Style17"/>
        <w:widowControl w:val="false"/>
        <w:overflowPunct w:val="false"/>
        <w:autoSpaceDE w:val="false"/>
        <w:spacing w:before="0" w:after="0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Ответственный за противопожарную безопасность: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(Ф.И.О., наличие приказа, его номер, дата)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</w:t>
        <w:tab/>
        <w:t>Система экстренного вызова полиции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(имеется/отсутствует/не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rPr/>
      </w:pPr>
      <w:r>
        <w:rPr>
          <w:rStyle w:val="Style14"/>
          <w:rFonts w:ascii="Liberation Serif" w:hAnsi="Liberation Serif"/>
          <w:sz w:val="28"/>
          <w:szCs w:val="28"/>
        </w:rPr>
        <w:t>4.3.1.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Система экстренного вызова полиции 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(находится в рабочем/в нерабочем состоянии)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4.3.2. Количество кнопок экстренного вызова полиции 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(находится в рабочем/в нерабочем состоянии)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4.3.3.</w:t>
        <w:tab/>
        <w:t>Количество кнопок/брелоков, инициирующих сигнал тревоги 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4.3.4.</w:t>
        <w:tab/>
        <w:t>Сигнал тревоги выводится на пульт дежурного</w:t>
        <w:tab/>
        <w:t xml:space="preserve">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подразделения органа внутренних дел, частной охранной организации, службы безопасности)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4.3.5.</w:t>
        <w:tab/>
        <w:t>Техническое обслуживание средств сигнализации осуществляет _________________________________________________________________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организации, дата заключения договора, № договора)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</w:t>
        <w:tab/>
        <w:t>Система освещения 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(имеется/отсутствует)</w:t>
      </w:r>
    </w:p>
    <w:p>
      <w:pPr>
        <w:pStyle w:val="Style17"/>
        <w:widowControl w:val="false"/>
        <w:overflowPunct w:val="false"/>
        <w:autoSpaceDE w:val="false"/>
        <w:spacing w:before="0" w:after="0"/>
        <w:rPr/>
      </w:pPr>
      <w:r>
        <w:rPr>
          <w:rStyle w:val="Style14"/>
          <w:rFonts w:ascii="Liberation Serif" w:hAnsi="Liberation Serif"/>
          <w:sz w:val="28"/>
          <w:szCs w:val="28"/>
        </w:rPr>
        <w:t>4.4.1.</w:t>
        <w:tab/>
        <w:t>Краткая характеристика ____________________________________________________________________________________________________________________________________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4.4.2.</w:t>
        <w:tab/>
        <w:t>Достаточность освещения 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(достаточное/недостаточное)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Ограждение 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(имеется/отсутствует/не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4.5.1.</w:t>
        <w:tab/>
        <w:t>Общая протяженность периметра, подлежащего ограждению _ метров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4.5.2.</w:t>
        <w:tab/>
        <w:t>Краткая характеристика и состояние ограждения 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(железобетонное, металлическое, деревянное, сплошное, частичное, подлежит ремонту и т.д.)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4.5.3.</w:t>
        <w:tab/>
        <w:t>Наличие иных инженерно-технических средств охраны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Организация физической охраны ___________________________ :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</w:t>
        <w:tab/>
        <w:t>Физическая охрана 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(осуществляется/не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5.1.1.</w:t>
        <w:tab/>
        <w:t>Физическая охрана осуществляется 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>(частной охранной организацией, службой безопасности,</w:t>
      </w:r>
      <w:r>
        <w:rPr>
          <w:rStyle w:val="Style14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sz w:val="24"/>
          <w:szCs w:val="24"/>
        </w:rPr>
        <w:t>сторожем, вахтером с указанием наименования частной охранной организации, службы безопасности)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5.1.2.</w:t>
        <w:tab/>
        <w:t>Режим осуществления физической охраны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sz w:val="24"/>
          <w:szCs w:val="24"/>
        </w:rPr>
        <w:t>(круглосуточная охрана,</w:t>
      </w:r>
      <w:r>
        <w:rPr>
          <w:rStyle w:val="Style14"/>
          <w:sz w:val="24"/>
          <w:szCs w:val="24"/>
        </w:rPr>
        <w:t xml:space="preserve"> </w:t>
      </w:r>
      <w:r>
        <w:rPr>
          <w:rStyle w:val="Style14"/>
          <w:rFonts w:ascii="Liberation Serif" w:hAnsi="Liberation Serif"/>
          <w:sz w:val="24"/>
          <w:szCs w:val="24"/>
        </w:rPr>
        <w:t>в определенные дни, в период проведения массовых мероприятий, другое)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5.1.3.</w:t>
        <w:tab/>
        <w:t>Пропускной режим 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(обеспечивается/не обеспечивается)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5.1.4.</w:t>
        <w:tab/>
        <w:t>Количество постов охраны (контрольно-пропускных пунктов, вахт)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 штату/фактическое)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5.2.</w:t>
        <w:tab/>
        <w:t xml:space="preserve">Обеспеченность сотрудников охраны: 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5.2.1.</w:t>
        <w:tab/>
        <w:t>Служебным оружием и боеприпасами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(обеспечены/вид служебного оружия/не обеспечены/не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5.2.2.</w:t>
        <w:tab/>
        <w:t>Специальными средствами 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(обеспечены/вид специальных средств/не обеспечены/не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5.2.3.</w:t>
        <w:tab/>
        <w:t>Служебным транспортом 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(обеспечены/вид транспорта/не обеспечены/не требуется)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6.  Мероприятия по обеспечению безопасности и антитеррористической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Защищенности ___________________________________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антитеррористическую безопасность ____________________________________________________________________________________________________________________________________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(Ф.И.О., наличие приказа, его номер, дата)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учреждении с администрацией и обслуживающим персоналом регулярно проводятся занятия, в ходе которых разъяснен порядок действий при получении информации о ЧС (возможности совершения террористических актов, нарушения общественного порядка, совершения преступлений, обнаружения взрывных устройств и других подозрительных предметов, при появлении лиц, замышляющих совершение преступлений, и другим действиям при возникновении).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и справки о проведении занятий в наличии.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учреждении разработана и утверждена документация по вопросам обеспечения безопасности (название документа, год разработки):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________________________________________________________________</w:t>
        <w:tab/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________________________________________________________________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7. Предложения рабочей группы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pBdr>
          <w:bottom w:val="single" w:sz="12" w:space="1" w:color="000000"/>
        </w:pBdr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обеспечения необходимой степени антитеррористической защищенности объекта (территории) с учётом присвоенной категории и в соответствии с Постановлением Правительства Российской Федерации от 25 марта 2015 года № 272 необходимо выполнить следующие мероприятия:_____________________________________________________________________________________________________________________________________________________________________________________________________________________________________________________________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7"/>
        <w:widowControl w:val="false"/>
        <w:pBdr>
          <w:bottom w:val="single" w:sz="12" w:space="1" w:color="000000"/>
        </w:pBdr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результатам обследования месту массового пребыванию людей рекомендуется установить _______________   категорию.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Члены рабочей группы: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 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</w:t>
        <w:tab/>
        <w:t>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</w:t>
        <w:tab/>
        <w:t>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</w:t>
        <w:tab/>
        <w:t>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</w:t>
        <w:tab/>
        <w:t>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Должность</w:t>
        <w:tab/>
        <w:t>_____________________________________________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Правообладатель (представитель) __________________________ Ф.И.О.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4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УТВЕРЖДЁН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постановлением администрации Камышловского городского округа 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04.08.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527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мест массового пребывания людей, расположенных на территории Камышловского городского округа</w:t>
      </w:r>
    </w:p>
    <w:tbl>
      <w:tblPr>
        <w:tblW w:w="9730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2"/>
        <w:gridCol w:w="4358"/>
        <w:gridCol w:w="4450"/>
      </w:tblGrid>
      <w:tr>
        <w:trPr>
          <w:trHeight w:val="677" w:hRule="exac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lineRule="exact" w:line="260" w:before="0" w:after="60"/>
              <w:ind w:left="0" w:right="26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pStyle w:val="Style17"/>
              <w:widowControl w:val="false"/>
              <w:suppressAutoHyphens w:val="false"/>
              <w:spacing w:lineRule="exact" w:line="260" w:before="60" w:after="0"/>
              <w:ind w:left="0" w:right="26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lineRule="exact" w:line="26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lineRule="exact" w:line="26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>
        <w:trPr>
          <w:trHeight w:val="667" w:hRule="exac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lineRule="exact" w:line="260" w:before="0" w:after="0"/>
              <w:ind w:left="0" w:right="260" w:hanging="0"/>
              <w:jc w:val="right"/>
              <w:textAlignment w:val="auto"/>
              <w:rPr>
                <w:rFonts w:ascii="Liberation Serif" w:hAnsi="Liberation Serif" w:eastAsia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городская площадь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ind w:left="0" w:right="0" w:firstLine="15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Карла Маркса</w:t>
            </w:r>
          </w:p>
        </w:tc>
      </w:tr>
      <w:tr>
        <w:trPr>
          <w:trHeight w:val="667" w:hRule="exac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widowControl w:val="false"/>
              <w:suppressAutoHyphens w:val="false"/>
              <w:spacing w:lineRule="exact" w:line="260" w:before="0" w:after="0"/>
              <w:ind w:left="0" w:right="260" w:hanging="0"/>
              <w:jc w:val="right"/>
              <w:textAlignment w:val="auto"/>
              <w:rPr>
                <w:rFonts w:ascii="Liberation Serif" w:hAnsi="Liberation Serif" w:eastAsia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Центральный городской сквер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ind w:left="0" w:right="0" w:firstLine="15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Карла Маркса</w:t>
            </w:r>
          </w:p>
        </w:tc>
      </w:tr>
    </w:tbl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19"/>
      <w:rPr/>
    </w:pPr>
    <w:r>
      <w:rPr/>
    </w:r>
  </w:p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19"/>
      <w:rPr/>
    </w:pPr>
    <w:r>
      <w:rPr/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LibreOffice/6.3.4.2$Windows_X86_64 LibreOffice_project/60da17e045e08f1793c57c00ba83cdfce946d0aa</Application>
  <Pages>15</Pages>
  <Words>2506</Words>
  <CharactersWithSpaces>26320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2021-08-04T15:40:55Z</cp:lastPrinted>
  <dcterms:modified xsi:type="dcterms:W3CDTF">2021-08-04T15:41:09Z</dcterms:modified>
  <cp:revision>31</cp:revision>
  <dc:subject/>
  <dc:title/>
</cp:coreProperties>
</file>