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ind w:left="0" w:right="0" w:firstLine="709"/>
        <w:jc w:val="center"/>
        <w:rPr/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5" t="-104" r="-175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9"/>
          <w:rFonts w:ascii="Liberation Serif" w:hAnsi="Liberation Serif"/>
          <w:b/>
          <w:bCs/>
          <w:sz w:val="28"/>
          <w:szCs w:val="28"/>
        </w:rPr>
        <w:br/>
        <w:t>АДМИНИСТРАЦИЯ КАМЫШЛОВСКОГО ГОРОДСКОГО ОКРУГА</w:t>
      </w:r>
    </w:p>
    <w:p>
      <w:pPr>
        <w:pStyle w:val="Style26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ConsPlusTitle"/>
        <w:widowControl/>
        <w:jc w:val="left"/>
        <w:rPr/>
      </w:pPr>
      <w:r>
        <w:rPr>
          <w:rStyle w:val="Style9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от 16.03.2020   № 17</w:t>
      </w:r>
      <w:r>
        <w:rPr>
          <w:rStyle w:val="Style9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5</w:t>
      </w:r>
    </w:p>
    <w:p>
      <w:pPr>
        <w:pStyle w:val="ConsPlusTitle"/>
        <w:widowControl/>
        <w:jc w:val="center"/>
        <w:rPr>
          <w:rStyle w:val="Style9"/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№ 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№ 11, от 14.03.2017 № 205, от 09.06.2017 № 555, от 18.07.2017 № 687, от 17.08.2017 № 776, от 03.10.2017 № 900, 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№362, от 24.06.2019 №584, от 09.07.2019 №638, от 21.08.2019 №754, от 18.10.2019 № 901, от 25.11.2019 №1037, 30.12.2019 №1129, от 03.02.2020 №60)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05.12.2019 № 440 «О бюджете Камышловского городского округа на 2020 год и плановый период 2021 и 2022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Style w:val="Style9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№638, от 21.08.2019 №754, от 18.10.2019 №901, от 25.11.2019 №1037, 30.12.2019 №1129, от 03.02.2020 №60 (далее программа), следующие изменения: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8"/>
        </w:tabs>
        <w:ind w:left="142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9"/>
          <w:rFonts w:cs="Times New Roman" w:ascii="Liberation Serif" w:hAnsi="Liberation Serif"/>
          <w:sz w:val="28"/>
          <w:szCs w:val="28"/>
        </w:rPr>
        <w:t>2362842962,57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239992025,91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219342147,58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федеральный бюджет: </w:t>
      </w:r>
      <w:r>
        <w:rPr>
          <w:rStyle w:val="Style9"/>
          <w:rFonts w:ascii="Liberation Serif" w:hAnsi="Liberation Serif"/>
          <w:b/>
        </w:rPr>
        <w:t>255919945,82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13077300,00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областной бюджет: </w:t>
      </w:r>
      <w:r>
        <w:rPr>
          <w:rStyle w:val="Style9"/>
          <w:rFonts w:ascii="Liberation Serif" w:hAnsi="Liberation Serif"/>
          <w:b/>
        </w:rPr>
        <w:t>1128622341,53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84836200,00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81787800,00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местный бюджет: </w:t>
      </w:r>
      <w:r>
        <w:rPr>
          <w:rStyle w:val="Style9"/>
          <w:rFonts w:ascii="Liberation Serif" w:hAnsi="Liberation Serif"/>
          <w:b/>
          <w:bCs/>
        </w:rPr>
        <w:t>969550475,22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146167890,20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141864925,91</w:t>
      </w:r>
    </w:p>
    <w:p>
      <w:pPr>
        <w:pStyle w:val="Style26"/>
        <w:widowControl w:val="false"/>
        <w:tabs>
          <w:tab w:val="clear" w:pos="708"/>
        </w:tabs>
        <w:ind w:left="142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124477047,58</w:t>
      </w:r>
    </w:p>
    <w:p>
      <w:pPr>
        <w:pStyle w:val="ConsPlusCell"/>
        <w:tabs>
          <w:tab w:val="clear" w:pos="708"/>
        </w:tabs>
        <w:ind w:left="142" w:right="0" w:firstLine="567"/>
        <w:rPr/>
      </w:pPr>
      <w:r>
        <w:rPr>
          <w:rStyle w:val="Style9"/>
          <w:rFonts w:ascii="Liberation Serif" w:hAnsi="Liberation Serif"/>
        </w:rPr>
        <w:t xml:space="preserve">внебюджетные источники: </w:t>
      </w:r>
      <w:r>
        <w:rPr>
          <w:rStyle w:val="Style9"/>
          <w:rFonts w:ascii="Liberation Serif" w:hAnsi="Liberation Serif"/>
          <w:b/>
        </w:rPr>
        <w:t>8750200</w:t>
      </w:r>
      <w:r>
        <w:rPr>
          <w:rStyle w:val="Style9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2. </w:t>
      </w:r>
      <w:r>
        <w:rPr>
          <w:rStyle w:val="Style9"/>
          <w:rFonts w:ascii="Liberation Serif" w:hAnsi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9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3.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4.</w:t>
      </w:r>
      <w:r>
        <w:rPr>
          <w:rStyle w:val="Style9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 xml:space="preserve">Паспорт </w:t>
      </w:r>
      <w:r>
        <w:rPr>
          <w:rStyle w:val="Style9"/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Style w:val="Style9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5.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6.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Normal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ConsPlus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ConsPlusNormal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4954" w:type="dxa"/>
        <w:jc w:val="left"/>
        <w:tblInd w:w="467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4"/>
      </w:tblGrid>
      <w:tr>
        <w:trPr>
          <w:trHeight w:val="1691" w:hRule="atLeast"/>
        </w:trPr>
        <w:tc>
          <w:tcPr>
            <w:tcW w:w="4954" w:type="dxa"/>
            <w:tcBorders/>
            <w:shd w:fill="auto" w:val="clear"/>
          </w:tcPr>
          <w:p>
            <w:pPr>
              <w:pStyle w:val="Style26"/>
              <w:widowControl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УТВЕРЖДЕН</w:t>
            </w:r>
          </w:p>
          <w:p>
            <w:pPr>
              <w:pStyle w:val="Style26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остановлением администрации </w:t>
            </w:r>
          </w:p>
          <w:p>
            <w:pPr>
              <w:pStyle w:val="Style26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Камышловского городского округа </w:t>
            </w:r>
          </w:p>
          <w:p>
            <w:pPr>
              <w:pStyle w:val="Style26"/>
              <w:widowControl w:val="false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16.03.2020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</w:tr>
    </w:tbl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6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035" w:type="dxa"/>
        <w:jc w:val="left"/>
        <w:tblInd w:w="-294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4395"/>
        <w:gridCol w:w="5640"/>
      </w:tblGrid>
      <w:tr>
        <w:trPr>
          <w:trHeight w:val="400" w:hRule="atLeast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3.</w:t>
            </w:r>
            <w:r>
              <w:rPr>
                <w:rStyle w:val="Style9"/>
                <w:rFonts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  <w:r>
              <w:rPr>
                <w:rStyle w:val="Style9"/>
                <w:rFonts w:ascii="Liberation Serif" w:hAnsi="Liberation Serif"/>
              </w:rPr>
              <w:t xml:space="preserve"> 4.Проведение работ по описанию границ территориальных зон и населенных пунктов.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5.</w:t>
            </w:r>
            <w:r>
              <w:rPr>
                <w:rStyle w:val="Style9"/>
                <w:color w:val="000000"/>
              </w:rPr>
              <w:t>Сохранение объектов культурного наследия.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6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764 граждан, проживающих в аварийном жилищном фонде, благоустроенным жильем.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4"/>
              <w:spacing w:lineRule="auto" w:line="240" w:before="0" w:after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6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shd w:fill="FFFFFF" w:val="clear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Цель1: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в области профилактики терроризма,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 территории Камышловского городского округа 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1.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4.Поддержание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23.Предоставление региональной поддержки молодым семьям Камышловского городского округа на улучшение жилищных условий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частки сельскохозяйственного назначения под жилищное строительство.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>
            <w:pPr>
              <w:pStyle w:val="ConsPlusCell"/>
              <w:widowControl/>
              <w:rPr/>
            </w:pPr>
            <w:r>
              <w:rPr>
                <w:rStyle w:val="Style9"/>
                <w:rFonts w:ascii="Liberation Serif" w:hAnsi="Liberation Serif"/>
              </w:rPr>
              <w:t>7а</w:t>
            </w:r>
            <w:r>
              <w:rPr>
                <w:rStyle w:val="Style9"/>
                <w:rFonts w:ascii="Liberation Serif" w:hAnsi="Liberation Serif"/>
                <w:color w:val="000000"/>
              </w:rPr>
              <w:t>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22.Обеспечение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23.Доля обеспечения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29.Прирост газифицированных домовладений (квартир) природным газом.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30.Благоустройство площади, скверов и парков. 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31.Доля благоустроенных площадей, скверов и парков.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32.Обрезка и валка аварийных деревьев.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33.Доля обрезанных и ликвидированных аварийных деревьев от общего количества деревьев.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34а.Количество создание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34б.Количество светоточек.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35.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36.Доля 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37.Обустройство и устройство контейнерных площадок.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38.Доля обустроенных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42.Доля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47.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48.Доля л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49.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50.Доля построенных малоэтажных домов.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вознаграждение (756).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получающих компенсаций.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граждан, получивших льготу (автотранспорт).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общественных организаций активно участвующих в деятельности администрации и жизни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61.Количество граждан получивших льготу (бани).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 Количество граждан (организаций), получивших памятные подарки.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получающих субсидии.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возмещение.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граждан, получивших меру социальной поддержки.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организаций, получивших субсидию.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вознаграждение (89).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 Количество граждан, получающих компенсаций расходов СО.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 Количество граждан, получающих компенсаций расходов РФ.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73.Создание новых рабочих мест.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74.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75.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78.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79.Количество подразделений.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80.Готовность эвакоорганов.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81.Объем финансирования.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82.Количество приема, обработки и передачи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83.Повышение уровня пожарной защиты.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84.Оснащение пожарным инвентарем, оборудование.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85.Наличие ДПО.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86.Обучение персонала.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88.Доля заседаний антитеррористической комиссии Камышловского городского округа, по которым осуществлено организованное обеспечение их проведения, от общего количества данных заседаний.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92.Количество выпущенных (размещенных) видео- и аудио роликов и печатной продукции по вопросам профилактики терроризма.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93.Количество изготовленных и размещенных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108.Доля созданных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109.Доля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110.Количество информационных материалов.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111.В</w:t>
            </w:r>
            <w:r>
              <w:rPr>
                <w:rStyle w:val="Style9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112.Количество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</w:rPr>
              <w:t>115.</w:t>
            </w:r>
            <w:r>
              <w:rPr>
                <w:rStyle w:val="Style9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119.Доля отремонтированных жилых помещений от общего количества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129.Количество молодых семей, получивших социальную выплату на улучшение жилищных условий.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130.Количество молодых семей получивших социальную выплату.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131.Колличество молодых семей, получивших региональную социальную выплату.</w:t>
            </w:r>
          </w:p>
        </w:tc>
      </w:tr>
      <w:tr>
        <w:trPr>
          <w:trHeight w:val="263" w:hRule="atLeast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left="0" w:right="0" w:firstLine="67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9"/>
                <w:rFonts w:cs="Times New Roman" w:ascii="Liberation Serif" w:hAnsi="Liberation Serif"/>
                <w:bCs w:val="false"/>
                <w:sz w:val="28"/>
                <w:szCs w:val="28"/>
              </w:rPr>
              <w:t>2362842962,57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239992025,91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219342147,58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9"/>
                <w:rFonts w:ascii="Liberation Serif" w:hAnsi="Liberation Serif"/>
                <w:b/>
              </w:rPr>
              <w:t>255919945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,82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13077300,00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9"/>
                <w:rFonts w:ascii="Liberation Serif" w:hAnsi="Liberation Serif"/>
                <w:b/>
              </w:rPr>
              <w:t>1128622341,53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84836200,00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81787800,58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969550475,22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146167890,20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141864925,91</w:t>
            </w:r>
          </w:p>
          <w:p>
            <w:pPr>
              <w:pStyle w:val="Style26"/>
              <w:widowControl w:val="false"/>
              <w:ind w:left="0" w:right="0"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124477047,58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9"/>
                <w:rFonts w:ascii="Liberation Serif" w:hAnsi="Liberation Serif"/>
                <w:b/>
              </w:rPr>
              <w:t>8750200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</w:tc>
      </w:tr>
      <w:tr>
        <w:trPr>
          <w:trHeight w:val="400" w:hRule="atLeast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5" w:tgtFrame="_top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ConsPlusNormal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6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  <w:p>
    <w:pPr>
      <w:pStyle w:val="Style3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  <w:p>
    <w:pPr>
      <w:pStyle w:val="Style3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4"/>
      <w:szCs w:val="24"/>
    </w:rPr>
  </w:style>
  <w:style w:type="paragraph" w:styleId="2">
    <w:name w:val="Heading 2"/>
    <w:basedOn w:val="Style26"/>
    <w:next w:val="Style26"/>
    <w:qFormat/>
    <w:pPr>
      <w:keepNext w:val="true"/>
      <w:numPr>
        <w:ilvl w:val="1"/>
        <w:numId w:val="1"/>
      </w:numPr>
      <w:suppressAutoHyphens w:val="true"/>
      <w:overflowPunct w:val="true"/>
      <w:autoSpaceDE w:val="true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Style26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6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6"/>
    <w:next w:val="Style26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4"/>
      <w:szCs w:val="24"/>
      <w:lang w:val="ru-RU"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cs="Calibri"/>
      <w:b/>
      <w:bCs/>
      <w:i/>
      <w:iCs/>
      <w:sz w:val="26"/>
      <w:szCs w:val="26"/>
    </w:rPr>
  </w:style>
  <w:style w:type="character" w:styleId="21">
    <w:name w:val="Основной текст 2 Знак"/>
    <w:basedOn w:val="Style9"/>
    <w:qFormat/>
    <w:rPr>
      <w:lang w:val="ru-RU"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cs="Courier New"/>
    </w:rPr>
  </w:style>
  <w:style w:type="character" w:styleId="22">
    <w:name w:val="Заголовок 2 Знак"/>
    <w:basedOn w:val="Style9"/>
    <w:qFormat/>
    <w:rPr>
      <w:b/>
      <w:bCs/>
      <w:sz w:val="28"/>
      <w:szCs w:val="28"/>
      <w:lang w:val="ru-RU" w:eastAsia="ru-RU"/>
    </w:rPr>
  </w:style>
  <w:style w:type="character" w:styleId="31">
    <w:name w:val="Заголовок 3 Знак"/>
    <w:basedOn w:val="Style9"/>
    <w:qFormat/>
    <w:rPr>
      <w:b/>
      <w:bCs/>
      <w:color w:val="666666"/>
      <w:sz w:val="27"/>
      <w:szCs w:val="27"/>
      <w:lang w:val="ru-RU" w:eastAsia="ru-RU"/>
    </w:rPr>
  </w:style>
  <w:style w:type="character" w:styleId="41">
    <w:name w:val="Заголовок 4 Знак"/>
    <w:basedOn w:val="Style9"/>
    <w:qFormat/>
    <w:rPr>
      <w:b/>
      <w:bCs/>
      <w:sz w:val="24"/>
      <w:szCs w:val="24"/>
      <w:lang w:val="ru-RU"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Style10">
    <w:name w:val="Верхний колонтитул Знак"/>
    <w:basedOn w:val="Style9"/>
    <w:qFormat/>
    <w:rPr>
      <w:lang w:val="ru-RU"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32">
    <w:name w:val="Основной текст с отступом 3 Знак"/>
    <w:basedOn w:val="Style9"/>
    <w:qFormat/>
    <w:rPr>
      <w:sz w:val="16"/>
      <w:szCs w:val="16"/>
      <w:lang w:val="ru-RU"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Style11">
    <w:name w:val="Основной текст Знак"/>
    <w:basedOn w:val="Style9"/>
    <w:qFormat/>
    <w:rPr>
      <w:sz w:val="24"/>
      <w:szCs w:val="24"/>
      <w:lang w:val="ru-RU" w:eastAsia="ru-RU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2">
    <w:name w:val="Гиперссылка"/>
    <w:basedOn w:val="Style9"/>
    <w:qFormat/>
    <w:rPr>
      <w:color w:val="0000FF"/>
      <w:u w:val="single"/>
    </w:rPr>
  </w:style>
  <w:style w:type="character" w:styleId="Style13">
    <w:name w:val="Текст выноски Знак"/>
    <w:basedOn w:val="Style9"/>
    <w:qFormat/>
    <w:rPr>
      <w:rFonts w:ascii="Tahoma" w:hAnsi="Tahoma" w:cs="Tahoma"/>
      <w:sz w:val="16"/>
      <w:szCs w:val="16"/>
      <w:lang w:val="ru-RU" w:eastAsia="ru-RU"/>
    </w:rPr>
  </w:style>
  <w:style w:type="character" w:styleId="Applestylespan">
    <w:name w:val="apple-style-span"/>
    <w:basedOn w:val="Style9"/>
    <w:qFormat/>
    <w:rPr/>
  </w:style>
  <w:style w:type="character" w:styleId="Appleconvertedspace">
    <w:name w:val="apple-converted-space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4">
    <w:name w:val="Основной текст с отступом Знак"/>
    <w:basedOn w:val="Style9"/>
    <w:qFormat/>
    <w:rPr>
      <w:sz w:val="24"/>
      <w:szCs w:val="24"/>
      <w:lang w:val="ru-RU"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5">
    <w:name w:val="Строгий"/>
    <w:basedOn w:val="Style9"/>
    <w:qFormat/>
    <w:rPr>
      <w:b/>
      <w:bCs/>
    </w:rPr>
  </w:style>
  <w:style w:type="character" w:styleId="Style16">
    <w:name w:val="Выделение"/>
    <w:basedOn w:val="Style9"/>
    <w:qFormat/>
    <w:rPr>
      <w:i/>
      <w:iCs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Style17">
    <w:name w:val="Нижний колонтитул Знак"/>
    <w:basedOn w:val="Style9"/>
    <w:qFormat/>
    <w:rPr>
      <w:rFonts w:ascii="Calibri" w:hAnsi="Calibri" w:eastAsia="Times New Roman" w:cs="Calibri"/>
      <w:sz w:val="22"/>
      <w:szCs w:val="22"/>
      <w:lang w:val="ru-RU" w:eastAsia="en-US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18">
    <w:name w:val="*П-ПОСТАНОВЛЯЮ: Знак"/>
    <w:qFormat/>
    <w:rPr>
      <w:rFonts w:eastAsia="Times New Roman"/>
      <w:b/>
      <w:bCs/>
      <w:color w:val="000000"/>
      <w:sz w:val="28"/>
      <w:szCs w:val="28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Style19">
    <w:name w:val="Текст Знак"/>
    <w:basedOn w:val="Style9"/>
    <w:qFormat/>
    <w:rPr>
      <w:rFonts w:ascii="Courier New" w:hAnsi="Courier New" w:eastAsia="Times New Roman" w:cs="Courier New"/>
      <w:lang w:val="ru-RU" w:eastAsia="ru-RU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0">
    <w:name w:val="Текст сноски Знак"/>
    <w:basedOn w:val="Style9"/>
    <w:qFormat/>
    <w:rPr>
      <w:lang w:val="ru-RU" w:eastAsia="ru-RU"/>
    </w:rPr>
  </w:style>
  <w:style w:type="character" w:styleId="Style21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eastAsia="Times New Roman"/>
      <w:sz w:val="28"/>
      <w:szCs w:val="28"/>
      <w:lang w:val="ru-RU" w:eastAsia="ru-RU"/>
    </w:rPr>
  </w:style>
  <w:style w:type="character" w:styleId="Style22">
    <w:name w:val="Основной текст_"/>
    <w:basedOn w:val="Style9"/>
    <w:qFormat/>
    <w:rPr>
      <w:sz w:val="23"/>
      <w:szCs w:val="23"/>
      <w:highlight w:val="white"/>
    </w:rPr>
  </w:style>
  <w:style w:type="character" w:styleId="WWCharLFO4LVL1">
    <w:name w:val="WW_CharLFO4LVL1"/>
    <w:qFormat/>
    <w:rPr>
      <w:rFonts w:ascii="Courier New" w:hAnsi="Courier New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Style26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26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HTML1">
    <w:name w:val="Стандартный HTML"/>
    <w:basedOn w:val="Style26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29">
    <w:name w:val="Прижатый влево"/>
    <w:basedOn w:val="Style26"/>
    <w:next w:val="Style26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0">
    <w:name w:val="Знак Знак Знак"/>
    <w:basedOn w:val="Style26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19772" w:hanging="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1">
    <w:name w:val="Обычный (веб)"/>
    <w:basedOn w:val="Style26"/>
    <w:qFormat/>
    <w:pPr>
      <w:suppressAutoHyphens w:val="true"/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211">
    <w:name w:val="Основной текст 21"/>
    <w:basedOn w:val="Style26"/>
    <w:qFormat/>
    <w:pPr>
      <w:suppressAutoHyphens w:val="true"/>
      <w:overflowPunct w:val="true"/>
      <w:autoSpaceDE w:val="true"/>
      <w:ind w:left="0" w:right="4535" w:hanging="0"/>
      <w:textAlignment w:val="auto"/>
    </w:pPr>
    <w:rPr>
      <w:sz w:val="28"/>
      <w:szCs w:val="28"/>
      <w:lang w:eastAsia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26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33">
    <w:name w:val="Основной текст с отступом 3"/>
    <w:basedOn w:val="Style26"/>
    <w:qFormat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4">
    <w:name w:val="Знак Знак Знак Знак Знак Знак Знак"/>
    <w:basedOn w:val="Style26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5">
    <w:name w:val="Абзац списка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6">
    <w:name w:val="Body Text Indent"/>
    <w:basedOn w:val="Style26"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24"/>
      <w:szCs w:val="24"/>
    </w:rPr>
  </w:style>
  <w:style w:type="paragraph" w:styleId="Style37">
    <w:name w:val="Foot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6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8">
    <w:name w:val="*П-ПОСТАНОВЛЯЮ: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0">
    <w:name w:val="Текст"/>
    <w:basedOn w:val="Style26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6"/>
    <w:qFormat/>
    <w:pPr>
      <w:suppressAutoHyphens w:val="true"/>
      <w:overflowPunct w:val="true"/>
      <w:autoSpaceDE w:val="tru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1">
    <w:name w:val="Текст сноски"/>
    <w:basedOn w:val="Style26"/>
    <w:qFormat/>
    <w:pPr>
      <w:suppressAutoHyphens w:val="true"/>
      <w:overflowPunct w:val="true"/>
      <w:autoSpaceDE w:val="true"/>
      <w:textAlignment w:val="auto"/>
    </w:pPr>
    <w:rPr/>
  </w:style>
  <w:style w:type="paragraph" w:styleId="Style42">
    <w:name w:val="Нормальный (таблица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Основной текст с отступом 2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480" w:before="0" w:after="120"/>
      <w:ind w:left="283" w:right="0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6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3">
    <w:name w:val="Таблицы (моноширинный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ubheader">
    <w:name w:val="subheader"/>
    <w:basedOn w:val="Style26"/>
    <w:qFormat/>
    <w:pPr>
      <w:suppressAutoHyphens w:val="true"/>
      <w:overflowPunct w:val="true"/>
      <w:autoSpaceDE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Consplusnonformat1">
    <w:name w:val="consplusnonformat"/>
    <w:basedOn w:val="Style26"/>
    <w:qFormat/>
    <w:pPr>
      <w:suppressAutoHyphens w:val="true"/>
      <w:overflowPunct w:val="true"/>
      <w:autoSpaceDE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44">
    <w:name w:val="Содержимое таблицы"/>
    <w:basedOn w:val="Normal"/>
    <w:qFormat/>
    <w:pPr>
      <w:suppressLineNumbers/>
    </w:pPr>
    <w:rPr/>
  </w:style>
  <w:style w:type="paragraph" w:styleId="Style45">
    <w:name w:val="Заголовок таблицы"/>
    <w:basedOn w:val="Style4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mailto:kamgo@mail.ru" TargetMode="Externa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28</Pages>
  <Words>4335</Words>
  <CharactersWithSpaces>39003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2020-03-11T05:48:00Z</dcterms:created>
  <dc:creator>отдел экономики</dc:creator>
  <dc:description/>
  <dc:language>ru-RU</dc:language>
  <cp:lastModifiedBy/>
  <cp:lastPrinted>2020-03-17T14:16:44Z</cp:lastPrinted>
  <dcterms:modified xsi:type="dcterms:W3CDTF">2020-03-17T14:17:12Z</dcterms:modified>
  <cp:revision>4</cp:revision>
  <dc:subject/>
  <dc:title/>
</cp:coreProperties>
</file>