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294959b47f8601651d1c94b754bfda2a5c8b0e714da563fe90b98cef41456e9db9fe9049761426654245bb2dd862eecmsonormal"/>
        <w:spacing w:before="0" w:after="0"/>
        <w:jc w:val="center"/>
        <w:rPr/>
      </w:pPr>
      <w:r>
        <w:rPr>
          <w:rStyle w:val="Style11"/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Style w:val="Style11"/>
          <w:rFonts w:ascii="Liberation Serif" w:hAnsi="Liberation Serif"/>
          <w:b/>
          <w:bCs/>
          <w:sz w:val="28"/>
          <w:szCs w:val="28"/>
        </w:rPr>
        <w:drawing>
          <wp:inline distT="0" distB="0" distL="0" distR="0">
            <wp:extent cx="485775" cy="75247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8" t="-96" r="-148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8"/>
        <w:suppressAutoHyphens w:val="true"/>
        <w:spacing w:lineRule="auto" w:line="240" w:before="0" w:after="0"/>
        <w:ind w:left="0" w:right="0" w:hanging="0"/>
        <w:jc w:val="both"/>
        <w:rPr>
          <w:rFonts w:ascii="Liberation Serif" w:hAnsi="Liberation Serif" w:cs="Liberation Serif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cs="Liberation Serif" w:ascii="Liberation Serif" w:hAnsi="Liberation Serif"/>
          <w:b/>
          <w:bCs/>
          <w:i w:val="false"/>
          <w:iCs w:val="false"/>
          <w:sz w:val="28"/>
          <w:szCs w:val="28"/>
        </w:rPr>
        <w:t>АДМИНИСТРАЦИЯ КАМЫШЛОВСКОГО ГОРОДСКОГО ОКРУГА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cs="Times New Roman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cs="Times New Roman" w:ascii="Liberation Serif" w:hAnsi="Liberation Serif"/>
          <w:b/>
          <w:bCs/>
          <w:i w:val="false"/>
          <w:iCs w:val="false"/>
          <w:sz w:val="28"/>
          <w:szCs w:val="28"/>
        </w:rPr>
        <w:t>П О С Т А Н О В Л Е Н И Е</w:t>
      </w:r>
    </w:p>
    <w:p>
      <w:pPr>
        <w:pStyle w:val="Style18"/>
        <w:pBdr>
          <w:top w:val="double" w:sz="12" w:space="1" w:color="000000"/>
        </w:pBdr>
        <w:tabs>
          <w:tab w:val="clear" w:pos="708"/>
          <w:tab w:val="left" w:pos="1134" w:leader="none"/>
        </w:tabs>
        <w:suppressAutoHyphens w:val="true"/>
        <w:spacing w:lineRule="auto" w:line="240" w:before="0" w:after="0"/>
        <w:jc w:val="center"/>
        <w:rPr>
          <w:rFonts w:ascii="Liberation Serif" w:hAnsi="Liberation Serif" w:cs="Liberation Serif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cs="Liberation Serif" w:ascii="Liberation Serif" w:hAnsi="Liberation Serif"/>
          <w:b/>
          <w:bCs/>
          <w:i w:val="false"/>
          <w:iCs w:val="false"/>
          <w:sz w:val="28"/>
          <w:szCs w:val="28"/>
        </w:rPr>
      </w:r>
    </w:p>
    <w:p>
      <w:pPr>
        <w:pStyle w:val="3294959b47f8601651d1c94b754bfda2a5c8b0e714da563fe90b98cef41456e9db9fe9049761426654245bb2dd862eecmsonormal"/>
        <w:spacing w:before="0" w:after="0"/>
        <w:jc w:val="both"/>
        <w:rPr/>
      </w:pPr>
      <w:r>
        <w:rPr>
          <w:rStyle w:val="Style11"/>
          <w:rFonts w:eastAsia="Arial Unicode MS" w:cs="Times New Roman" w:ascii="Liberation Serif" w:hAnsi="Liberation Serif"/>
          <w:b/>
          <w:bCs/>
          <w:i w:val="false"/>
          <w:iCs w:val="false"/>
          <w:color w:val="000000"/>
          <w:sz w:val="28"/>
          <w:szCs w:val="28"/>
          <w:lang w:eastAsia="ru-RU"/>
        </w:rPr>
        <w:t>от 0</w:t>
      </w:r>
      <w:r>
        <w:rPr>
          <w:rStyle w:val="Style11"/>
          <w:rFonts w:eastAsia="Arial Unicode MS" w:cs="Times New Roman" w:ascii="Liberation Serif" w:hAnsi="Liberation Serif"/>
          <w:b/>
          <w:bCs/>
          <w:i w:val="false"/>
          <w:iCs w:val="false"/>
          <w:color w:val="000000"/>
          <w:sz w:val="28"/>
          <w:szCs w:val="28"/>
          <w:lang w:eastAsia="ru-RU"/>
        </w:rPr>
        <w:t>8</w:t>
      </w:r>
      <w:r>
        <w:rPr>
          <w:rStyle w:val="Style11"/>
          <w:rFonts w:eastAsia="Arial Unicode MS" w:cs="Times New Roman" w:ascii="Liberation Serif" w:hAnsi="Liberation Serif"/>
          <w:b/>
          <w:bCs/>
          <w:i w:val="false"/>
          <w:iCs w:val="false"/>
          <w:color w:val="000000"/>
          <w:sz w:val="28"/>
          <w:szCs w:val="28"/>
          <w:lang w:eastAsia="ru-RU"/>
        </w:rPr>
        <w:t>.</w:t>
      </w:r>
      <w:r>
        <w:rPr>
          <w:rStyle w:val="Style11"/>
          <w:rFonts w:eastAsia="Arial Unicode MS" w:cs="Times New Roman" w:ascii="Liberation Serif" w:hAnsi="Liberation Serif"/>
          <w:b/>
          <w:bCs/>
          <w:i w:val="false"/>
          <w:iCs w:val="false"/>
          <w:color w:val="000000"/>
          <w:sz w:val="28"/>
          <w:szCs w:val="28"/>
          <w:lang w:eastAsia="ru-RU"/>
        </w:rPr>
        <w:t xml:space="preserve">02.2021   № </w:t>
      </w:r>
      <w:r>
        <w:rPr>
          <w:rStyle w:val="Style11"/>
          <w:rFonts w:eastAsia="Arial Unicode MS" w:cs="Times New Roman" w:ascii="Liberation Serif" w:hAnsi="Liberation Serif"/>
          <w:b/>
          <w:bCs/>
          <w:i w:val="false"/>
          <w:iCs w:val="false"/>
          <w:color w:val="000000"/>
          <w:sz w:val="28"/>
          <w:szCs w:val="28"/>
          <w:lang w:eastAsia="ru-RU"/>
        </w:rPr>
        <w:t>9</w:t>
      </w:r>
      <w:r>
        <w:rPr>
          <w:rStyle w:val="Style11"/>
          <w:rFonts w:eastAsia="Arial Unicode MS" w:cs="Times New Roman" w:ascii="Liberation Serif" w:hAnsi="Liberation Serif"/>
          <w:b/>
          <w:bCs/>
          <w:i w:val="false"/>
          <w:iCs w:val="false"/>
          <w:color w:val="000000"/>
          <w:sz w:val="28"/>
          <w:szCs w:val="28"/>
          <w:lang w:eastAsia="ru-RU"/>
        </w:rPr>
        <w:t>3</w:t>
      </w:r>
      <w:r>
        <w:rPr>
          <w:rStyle w:val="Style11"/>
          <w:rFonts w:eastAsia="Arial Unicode MS" w:cs="Times New Roman" w:ascii="Liberation Serif" w:hAnsi="Liberation Serif"/>
          <w:b/>
          <w:bCs/>
          <w:i w:val="false"/>
          <w:iCs w:val="false"/>
          <w:color w:val="000000"/>
          <w:sz w:val="28"/>
          <w:szCs w:val="28"/>
          <w:lang w:eastAsia="ru-RU"/>
        </w:rPr>
        <w:tab/>
        <w:tab/>
        <w:tab/>
      </w:r>
      <w:r>
        <w:rPr>
          <w:rStyle w:val="Style11"/>
          <w:rFonts w:ascii="Liberation Serif" w:hAnsi="Liberation Serif"/>
          <w:b/>
          <w:bCs/>
          <w:sz w:val="28"/>
          <w:szCs w:val="28"/>
        </w:rPr>
        <w:t xml:space="preserve">          </w:t>
      </w:r>
    </w:p>
    <w:p>
      <w:pPr>
        <w:pStyle w:val="Style18"/>
        <w:widowControl w:val="false"/>
        <w:jc w:val="center"/>
        <w:rPr>
          <w:rFonts w:ascii="Liberation Serif" w:hAnsi="Liberation Serif" w:cs="Liberation Serif;Times New Roma"/>
          <w:b/>
          <w:b/>
          <w:bCs/>
          <w:sz w:val="28"/>
          <w:szCs w:val="28"/>
        </w:rPr>
      </w:pPr>
      <w:r>
        <w:rPr>
          <w:rFonts w:cs="Liberation Serif;Times New Roma" w:ascii="Liberation Serif" w:hAnsi="Liberation Serif"/>
          <w:b/>
          <w:bCs/>
          <w:sz w:val="28"/>
          <w:szCs w:val="28"/>
        </w:rPr>
      </w:r>
    </w:p>
    <w:p>
      <w:pPr>
        <w:pStyle w:val="Style18"/>
        <w:widowControl w:val="false"/>
        <w:jc w:val="center"/>
        <w:rPr/>
      </w:pPr>
      <w:r>
        <w:rPr>
          <w:rStyle w:val="Style11"/>
          <w:rFonts w:ascii="Liberation Serif" w:hAnsi="Liberation Serif"/>
          <w:b/>
          <w:bCs/>
          <w:sz w:val="28"/>
          <w:szCs w:val="28"/>
        </w:rPr>
        <w:t xml:space="preserve">О внесении изменений в </w:t>
      </w:r>
      <w:r>
        <w:rPr>
          <w:rStyle w:val="Style11"/>
          <w:rFonts w:ascii="Liberation Serif" w:hAnsi="Liberation Serif"/>
          <w:b/>
          <w:sz w:val="28"/>
          <w:szCs w:val="28"/>
        </w:rPr>
        <w:t>Муниципальную программу Камышловского городского округа «Развитие образования, культуры, спорта и молодежной политики в Камышловском городском округе до 2027 года»,</w:t>
      </w:r>
    </w:p>
    <w:p>
      <w:pPr>
        <w:pStyle w:val="Style18"/>
        <w:widowControl w:val="false"/>
        <w:jc w:val="center"/>
        <w:rPr/>
      </w:pPr>
      <w:r>
        <w:rPr>
          <w:rStyle w:val="Style11"/>
          <w:rFonts w:ascii="Liberation Serif" w:hAnsi="Liberation Serif"/>
          <w:b/>
          <w:sz w:val="28"/>
          <w:szCs w:val="28"/>
        </w:rPr>
        <w:t xml:space="preserve"> </w:t>
      </w:r>
      <w:r>
        <w:rPr>
          <w:rStyle w:val="Style11"/>
          <w:rFonts w:ascii="Liberation Serif" w:hAnsi="Liberation Serif"/>
          <w:b/>
          <w:sz w:val="28"/>
          <w:szCs w:val="28"/>
        </w:rPr>
        <w:t xml:space="preserve">утверждённую постановлением главы Камышловского городского округа </w:t>
      </w:r>
    </w:p>
    <w:p>
      <w:pPr>
        <w:pStyle w:val="Style18"/>
        <w:widowControl w:val="false"/>
        <w:jc w:val="center"/>
        <w:rPr/>
      </w:pPr>
      <w:r>
        <w:rPr>
          <w:rStyle w:val="Style11"/>
          <w:rFonts w:ascii="Liberation Serif" w:hAnsi="Liberation Serif"/>
          <w:b/>
          <w:sz w:val="28"/>
          <w:szCs w:val="28"/>
        </w:rPr>
        <w:t xml:space="preserve">от 14 ноября 2018 года </w:t>
      </w:r>
      <w:r>
        <w:rPr>
          <w:rStyle w:val="Style11"/>
          <w:rFonts w:eastAsia="Calibri" w:ascii="Liberation Serif" w:hAnsi="Liberation Serif"/>
          <w:b/>
          <w:color w:val="000000"/>
          <w:sz w:val="28"/>
          <w:szCs w:val="28"/>
        </w:rPr>
        <w:t>№</w:t>
      </w:r>
      <w:r>
        <w:rPr>
          <w:rStyle w:val="Style11"/>
          <w:rFonts w:ascii="Liberation Serif" w:hAnsi="Liberation Serif"/>
          <w:b/>
          <w:sz w:val="28"/>
          <w:szCs w:val="28"/>
        </w:rPr>
        <w:t xml:space="preserve"> 982 (с изменениями, внесенными постановлениями администрации Камышловского городского округа </w:t>
      </w:r>
    </w:p>
    <w:p>
      <w:pPr>
        <w:pStyle w:val="Style18"/>
        <w:widowControl w:val="false"/>
        <w:jc w:val="center"/>
        <w:rPr/>
      </w:pPr>
      <w:bookmarkStart w:id="0" w:name="__DdeLink__4621_2845677607"/>
      <w:r>
        <w:rPr>
          <w:rStyle w:val="Style11"/>
          <w:rFonts w:ascii="Liberation Serif" w:hAnsi="Liberation Serif"/>
          <w:b/>
          <w:sz w:val="28"/>
          <w:szCs w:val="28"/>
        </w:rPr>
        <w:t xml:space="preserve">от 20.01.2020 № 27, 24.04.2020 № 274, 28.12.2018 года № 1196, </w:t>
      </w:r>
    </w:p>
    <w:p>
      <w:pPr>
        <w:pStyle w:val="Style18"/>
        <w:widowControl w:val="false"/>
        <w:jc w:val="center"/>
        <w:rPr/>
      </w:pPr>
      <w:bookmarkStart w:id="1" w:name="__DdeLink__4621_2845677607"/>
      <w:r>
        <w:rPr>
          <w:rStyle w:val="Style11"/>
          <w:rFonts w:ascii="Liberation Serif" w:hAnsi="Liberation Serif"/>
          <w:b/>
          <w:sz w:val="28"/>
          <w:szCs w:val="28"/>
        </w:rPr>
        <w:t>19.01.2021 года №31)</w:t>
      </w:r>
      <w:bookmarkEnd w:id="1"/>
    </w:p>
    <w:p>
      <w:pPr>
        <w:pStyle w:val="Style18"/>
        <w:shd w:fill="FFFFFF" w:val="clear"/>
        <w:tabs>
          <w:tab w:val="clear" w:pos="708"/>
          <w:tab w:val="left" w:pos="142" w:leader="none"/>
        </w:tabs>
        <w:ind w:left="0" w:right="-34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8"/>
        <w:tabs>
          <w:tab w:val="clear" w:pos="708"/>
          <w:tab w:val="left" w:pos="7200" w:leader="none"/>
          <w:tab w:val="center" w:pos="7773" w:leader="none"/>
        </w:tabs>
        <w:ind w:left="0" w:righ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соответствии с Государственной программой Свердловской области «Развитие системы образования в Свердловской области до 2025 года», утвержденной Постановлением Правительства Свердловской области от 19.12.2019 № 920-ПП, администрация Камышловского городского округа</w:t>
      </w:r>
    </w:p>
    <w:p>
      <w:pPr>
        <w:pStyle w:val="Style18"/>
        <w:shd w:fill="FFFFFF" w:val="clear"/>
        <w:tabs>
          <w:tab w:val="clear" w:pos="708"/>
          <w:tab w:val="left" w:pos="142" w:leader="none"/>
          <w:tab w:val="left" w:pos="5400" w:leader="none"/>
        </w:tabs>
        <w:ind w:left="0" w:right="-34" w:hanging="0"/>
        <w:jc w:val="both"/>
        <w:rPr/>
      </w:pPr>
      <w:r>
        <w:rPr>
          <w:rStyle w:val="Style11"/>
          <w:rFonts w:ascii="Liberation Serif" w:hAnsi="Liberation Serif"/>
          <w:b/>
          <w:sz w:val="28"/>
          <w:szCs w:val="28"/>
        </w:rPr>
        <w:t>ПОСТАНОВЛЯЕТ:</w:t>
      </w:r>
    </w:p>
    <w:p>
      <w:pPr>
        <w:pStyle w:val="Style18"/>
        <w:widowControl w:val="false"/>
        <w:ind w:left="0" w:right="0" w:firstLine="708"/>
        <w:jc w:val="both"/>
        <w:rPr/>
      </w:pPr>
      <w:r>
        <w:rPr>
          <w:rStyle w:val="Style11"/>
          <w:rFonts w:ascii="Liberation Serif" w:hAnsi="Liberation Serif"/>
          <w:sz w:val="28"/>
          <w:szCs w:val="28"/>
        </w:rPr>
        <w:t>1. Внести в</w:t>
      </w:r>
      <w:r>
        <w:rPr>
          <w:rStyle w:val="Style11"/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Style w:val="Style11"/>
          <w:rFonts w:ascii="Liberation Serif" w:hAnsi="Liberation Serif"/>
          <w:sz w:val="28"/>
          <w:szCs w:val="28"/>
        </w:rPr>
        <w:t xml:space="preserve">Муниципальную программу Камышловского городского округа «Развитие образования, культуры, спорта и молодежной политики в Камышловском городском округе до 2027 года» (далее- Программа), утверждённую постановлением главы Камышловского городского округа от 14 ноября 2018 года № 982 (с изменениями, внесенными постановлениями администрации Камышловского городского округа от 20.01.2020 № 27, 24.04.2020 № 274, 28.12.2018 года № 1196, 19.01.2021 года №31), следующие изменения: </w:t>
      </w:r>
    </w:p>
    <w:p>
      <w:pPr>
        <w:pStyle w:val="Style18"/>
        <w:widowControl w:val="false"/>
        <w:ind w:left="0" w:righ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В паспорте Программы:</w:t>
      </w:r>
    </w:p>
    <w:p>
      <w:pPr>
        <w:pStyle w:val="Style18"/>
        <w:widowControl w:val="false"/>
        <w:ind w:left="0" w:right="0" w:firstLine="708"/>
        <w:jc w:val="both"/>
        <w:rPr/>
      </w:pPr>
      <w:r>
        <w:rPr>
          <w:rStyle w:val="Style11"/>
          <w:rFonts w:ascii="Liberation Serif" w:hAnsi="Liberation Serif"/>
          <w:sz w:val="28"/>
          <w:szCs w:val="28"/>
        </w:rPr>
        <w:t>1.1.1. Цель 12.1 изложить в следующей редакции: «</w:t>
      </w:r>
      <w:r>
        <w:rPr>
          <w:rStyle w:val="Style11"/>
          <w:rFonts w:eastAsia="Calibri" w:ascii="Liberation Serif" w:hAnsi="Liberation Serif"/>
          <w:sz w:val="28"/>
          <w:szCs w:val="28"/>
          <w:lang w:eastAsia="en-US"/>
        </w:rPr>
        <w:t>Обеспечение условий для подготовки рабочих и инженерных кадров в масштабах и с качеством, удовлетворяющим текущие и перспективные потребности экономики, с учетом программ развития промышленного сектора экономики, обеспечения импортозамещения и возвращения отечественным предприятиям технологического лидерства»;</w:t>
      </w:r>
    </w:p>
    <w:p>
      <w:pPr>
        <w:pStyle w:val="Style18"/>
        <w:widowControl w:val="false"/>
        <w:ind w:left="0" w:right="0" w:firstLine="708"/>
        <w:jc w:val="both"/>
        <w:rPr>
          <w:rFonts w:ascii="Liberation Serif" w:hAnsi="Liberation Serif" w:eastAsia="Calibri"/>
          <w:sz w:val="28"/>
          <w:szCs w:val="28"/>
          <w:lang w:eastAsia="en-US"/>
        </w:rPr>
      </w:pPr>
      <w:r>
        <w:rPr>
          <w:rFonts w:eastAsia="Calibri" w:ascii="Liberation Serif" w:hAnsi="Liberation Serif"/>
          <w:sz w:val="28"/>
          <w:szCs w:val="28"/>
          <w:lang w:eastAsia="en-US"/>
        </w:rPr>
        <w:t>1.1.2. Цель 12.2- исключить;</w:t>
      </w:r>
    </w:p>
    <w:p>
      <w:pPr>
        <w:pStyle w:val="Style18"/>
        <w:widowControl w:val="false"/>
        <w:ind w:left="0" w:right="0" w:firstLine="708"/>
        <w:jc w:val="both"/>
        <w:rPr/>
      </w:pPr>
      <w:r>
        <w:rPr>
          <w:rStyle w:val="Style11"/>
          <w:rFonts w:eastAsia="Calibri" w:ascii="Liberation Serif" w:hAnsi="Liberation Serif"/>
          <w:sz w:val="28"/>
          <w:szCs w:val="28"/>
          <w:lang w:eastAsia="en-US"/>
        </w:rPr>
        <w:t>1.1.3. Задачу 12.1.1</w:t>
      </w:r>
      <w:r>
        <w:rPr>
          <w:rStyle w:val="Style11"/>
          <w:rFonts w:ascii="Liberation Serif" w:hAnsi="Liberation Serif"/>
          <w:sz w:val="28"/>
          <w:szCs w:val="28"/>
        </w:rPr>
        <w:t xml:space="preserve"> изложить в следующей редакции: «</w:t>
      </w:r>
      <w:r>
        <w:rPr>
          <w:rStyle w:val="Style11"/>
          <w:rFonts w:eastAsia="Calibri" w:ascii="Liberation Serif" w:hAnsi="Liberation Serif"/>
          <w:sz w:val="28"/>
          <w:szCs w:val="28"/>
          <w:lang w:eastAsia="en-US"/>
        </w:rPr>
        <w:t>Создание условий, обеспечивающих возможность реализации права граждан на непрерывное образование по инженерно-техническим специальностям»;</w:t>
      </w:r>
    </w:p>
    <w:p>
      <w:pPr>
        <w:sectPr>
          <w:headerReference w:type="default" r:id="rId3"/>
          <w:type w:val="nextPage"/>
          <w:pgSz w:w="11906" w:h="16838"/>
          <w:pgMar w:left="1701" w:right="567" w:header="1134" w:top="1559" w:footer="0" w:bottom="1134" w:gutter="0"/>
          <w:pgNumType w:fmt="decimal"/>
          <w:formProt w:val="false"/>
          <w:titlePg/>
          <w:textDirection w:val="lrTb"/>
          <w:docGrid w:type="default" w:linePitch="600" w:charSpace="40960"/>
        </w:sectPr>
        <w:pStyle w:val="Style18"/>
        <w:widowControl w:val="false"/>
        <w:ind w:left="0" w:right="0" w:firstLine="708"/>
        <w:jc w:val="both"/>
        <w:rPr>
          <w:rFonts w:ascii="Liberation Serif" w:hAnsi="Liberation Serif" w:eastAsia="Calibri"/>
          <w:sz w:val="28"/>
          <w:szCs w:val="28"/>
          <w:lang w:eastAsia="en-US"/>
        </w:rPr>
      </w:pPr>
      <w:r>
        <w:rPr>
          <w:rFonts w:eastAsia="Calibri" w:ascii="Liberation Serif" w:hAnsi="Liberation Serif"/>
          <w:sz w:val="28"/>
          <w:szCs w:val="28"/>
          <w:lang w:eastAsia="en-US"/>
        </w:rPr>
        <w:t>1.1.4. Целевой показатель 12.1.1.1 изложить в следующей редакции: «Количество обучающихся - участников сетевых форм взаимодействия образовательных организаций по созданию и совместному использованию материально-технических, кадровых, учебно-методических ресурсов для совместной реализации образовательных программ, содержащих модули, направленные на развитие познавательных способностей детей, поддержку технического творчества и компетенций конструирования, моделирования, программирования, изучения основ проектной деятельности»;</w:t>
      </w:r>
    </w:p>
    <w:p>
      <w:pPr>
        <w:pStyle w:val="Style18"/>
        <w:widowControl w:val="false"/>
        <w:ind w:left="0" w:right="0" w:firstLine="708"/>
        <w:jc w:val="both"/>
        <w:rPr/>
      </w:pPr>
      <w:r>
        <w:rPr>
          <w:rStyle w:val="Style11"/>
          <w:rFonts w:eastAsia="Calibri" w:ascii="Liberation Serif" w:hAnsi="Liberation Serif"/>
          <w:sz w:val="28"/>
          <w:szCs w:val="28"/>
          <w:lang w:eastAsia="en-US"/>
        </w:rPr>
        <w:t>1.1.5. Дополнить целевым показателем 12.1.1.2: «</w:t>
      </w:r>
      <w:r>
        <w:rPr>
          <w:rStyle w:val="Style11"/>
          <w:rFonts w:ascii="Liberation Serif" w:hAnsi="Liberation Serif"/>
          <w:sz w:val="28"/>
          <w:szCs w:val="28"/>
        </w:rPr>
        <w:t>Количество модернизированных кабинетов естественно- научного цикла»;</w:t>
      </w:r>
    </w:p>
    <w:p>
      <w:pPr>
        <w:pStyle w:val="Style18"/>
        <w:widowControl w:val="false"/>
        <w:ind w:left="0" w:right="0" w:firstLine="708"/>
        <w:jc w:val="both"/>
        <w:rPr/>
      </w:pPr>
      <w:r>
        <w:rPr>
          <w:rStyle w:val="Style11"/>
          <w:rFonts w:ascii="Liberation Serif" w:hAnsi="Liberation Serif"/>
          <w:sz w:val="28"/>
          <w:szCs w:val="28"/>
        </w:rPr>
        <w:t xml:space="preserve">1.1.6. </w:t>
      </w:r>
      <w:r>
        <w:rPr>
          <w:rStyle w:val="Style11"/>
          <w:rFonts w:eastAsia="Calibri" w:ascii="Liberation Serif" w:hAnsi="Liberation Serif"/>
          <w:sz w:val="28"/>
          <w:szCs w:val="28"/>
          <w:lang w:eastAsia="en-US"/>
        </w:rPr>
        <w:t>Дополнить целевым показателем 12.1.1.3: «Количество образовательных организаций, реализующих программы дополнительного образования технической и естественно-научной направленности на условиях сетевого взаимодействия с государственным автономным нетиповым образовательным учреждением Свердловской области «Дворец молодежи»»;</w:t>
      </w:r>
    </w:p>
    <w:p>
      <w:pPr>
        <w:pStyle w:val="Style18"/>
        <w:widowControl w:val="false"/>
        <w:ind w:left="0" w:right="0" w:firstLine="708"/>
        <w:jc w:val="both"/>
        <w:rPr/>
      </w:pPr>
      <w:r>
        <w:rPr>
          <w:rStyle w:val="Style11"/>
          <w:rFonts w:eastAsia="Calibri" w:ascii="Liberation Serif" w:hAnsi="Liberation Serif"/>
          <w:sz w:val="28"/>
          <w:szCs w:val="28"/>
          <w:lang w:eastAsia="en-US"/>
        </w:rPr>
        <w:t>1.1.7. Задачу 12.2.1</w:t>
      </w:r>
      <w:r>
        <w:rPr>
          <w:rStyle w:val="Style11"/>
          <w:rFonts w:ascii="Liberation Serif" w:hAnsi="Liberation Serif"/>
          <w:sz w:val="28"/>
          <w:szCs w:val="28"/>
        </w:rPr>
        <w:t xml:space="preserve"> изложить в следующей редакции: «Создание условий для реализации образовательных программ по наиболее востребованным и перспективным </w:t>
      </w:r>
      <w:r>
        <w:rPr>
          <w:rStyle w:val="Style11"/>
          <w:rFonts w:eastAsia="Calibri" w:ascii="Liberation Serif" w:hAnsi="Liberation Serif"/>
          <w:sz w:val="28"/>
          <w:szCs w:val="28"/>
          <w:lang w:eastAsia="en-US"/>
        </w:rPr>
        <w:t>профессиям и специальностям»;</w:t>
      </w:r>
    </w:p>
    <w:p>
      <w:pPr>
        <w:pStyle w:val="Style18"/>
        <w:widowControl w:val="false"/>
        <w:ind w:left="0" w:right="0" w:firstLine="708"/>
        <w:jc w:val="both"/>
        <w:rPr>
          <w:rFonts w:ascii="Liberation Serif" w:hAnsi="Liberation Serif" w:eastAsia="Calibri"/>
          <w:sz w:val="28"/>
          <w:szCs w:val="28"/>
          <w:lang w:eastAsia="en-US"/>
        </w:rPr>
      </w:pPr>
      <w:r>
        <w:rPr>
          <w:rFonts w:eastAsia="Calibri" w:ascii="Liberation Serif" w:hAnsi="Liberation Serif"/>
          <w:sz w:val="28"/>
          <w:szCs w:val="28"/>
          <w:lang w:eastAsia="en-US"/>
        </w:rPr>
        <w:t>1.1.8. Целевой показатель 12.2.1.1 изложить в следующей редакции: «Количество образовательных организаций, заключивших соглашение о взаимодействии с негосударственными организациями, осуществляющими образовательную деятельность в сфере дополнительного образования детей технической направленности, и негосударственными организациями, осуществляющими поддержку технического творчества детей (нарастающим итогом)»;</w:t>
      </w:r>
    </w:p>
    <w:p>
      <w:pPr>
        <w:pStyle w:val="Style18"/>
        <w:widowControl w:val="false"/>
        <w:ind w:left="0" w:right="0" w:firstLine="708"/>
        <w:jc w:val="both"/>
        <w:rPr>
          <w:rFonts w:ascii="Liberation Serif" w:hAnsi="Liberation Serif" w:eastAsia="Calibri"/>
          <w:sz w:val="28"/>
          <w:szCs w:val="28"/>
          <w:lang w:eastAsia="en-US"/>
        </w:rPr>
      </w:pPr>
      <w:r>
        <w:rPr>
          <w:rFonts w:eastAsia="Calibri" w:ascii="Liberation Serif" w:hAnsi="Liberation Serif"/>
          <w:sz w:val="28"/>
          <w:szCs w:val="28"/>
          <w:lang w:eastAsia="en-US"/>
        </w:rPr>
        <w:t>1.1.9. Целевой показатель 12.2.1.2 изложить в следующей редакции: «Доля молодых граждан в возрасте от 14 до 17 лет, охваченных различными формами профессиональной ориентации, в общей численности граждан - участников профориентационных мероприятий (ежегодно)»;</w:t>
      </w:r>
    </w:p>
    <w:p>
      <w:pPr>
        <w:pStyle w:val="Style18"/>
        <w:widowControl w:val="false"/>
        <w:ind w:left="0" w:right="0" w:firstLine="708"/>
        <w:jc w:val="both"/>
        <w:rPr>
          <w:rFonts w:ascii="Liberation Serif" w:hAnsi="Liberation Serif" w:eastAsia="Calibri"/>
          <w:sz w:val="28"/>
          <w:szCs w:val="28"/>
          <w:lang w:eastAsia="en-US"/>
        </w:rPr>
      </w:pPr>
      <w:r>
        <w:rPr>
          <w:rFonts w:eastAsia="Calibri" w:ascii="Liberation Serif" w:hAnsi="Liberation Serif"/>
          <w:sz w:val="28"/>
          <w:szCs w:val="28"/>
          <w:lang w:eastAsia="en-US"/>
        </w:rPr>
        <w:t>1.1.10. Дополнить задачей 12.3.1: «Модернизация материально-технической, учебно-методической базы муниципальных образовательных организаций Свердловской области, осуществляющих реализацию программ цифрового, естественно-научного и гуманитарного профилей»;</w:t>
      </w:r>
    </w:p>
    <w:p>
      <w:pPr>
        <w:pStyle w:val="Style18"/>
        <w:widowControl w:val="false"/>
        <w:ind w:left="0" w:right="0" w:firstLine="708"/>
        <w:jc w:val="both"/>
        <w:rPr>
          <w:rFonts w:ascii="Liberation Serif" w:hAnsi="Liberation Serif" w:eastAsia="Calibri"/>
          <w:sz w:val="28"/>
          <w:szCs w:val="28"/>
          <w:lang w:eastAsia="en-US"/>
        </w:rPr>
      </w:pPr>
      <w:r>
        <w:rPr>
          <w:rFonts w:eastAsia="Calibri" w:ascii="Liberation Serif" w:hAnsi="Liberation Serif"/>
          <w:sz w:val="28"/>
          <w:szCs w:val="28"/>
          <w:lang w:eastAsia="en-US"/>
        </w:rPr>
        <w:t>1.1.11. Дополнить целевым показателем 12.3.1.1: «Численность учащихся общеобразовательных организаций, осваивающих дополнительные общеобразовательные программы технической направленности».</w:t>
      </w:r>
    </w:p>
    <w:p>
      <w:pPr>
        <w:pStyle w:val="ConsPlusCell"/>
        <w:ind w:left="0" w:righ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В Приложении  1 к Программе:</w:t>
      </w:r>
    </w:p>
    <w:p>
      <w:pPr>
        <w:pStyle w:val="ConsPlusCell"/>
        <w:ind w:left="0" w:righ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2.1. Подпрограмму 12 «Развитие инженерной школы в Камышловском городском округе» изложить в следующей редакции:</w:t>
      </w:r>
    </w:p>
    <w:tbl>
      <w:tblPr>
        <w:tblW w:w="5000" w:type="pct"/>
        <w:jc w:val="center"/>
        <w:tblInd w:w="0" w:type="dxa"/>
        <w:tblCellMar>
          <w:top w:w="0" w:type="dxa"/>
          <w:left w:w="75" w:type="dxa"/>
          <w:bottom w:w="0" w:type="dxa"/>
          <w:right w:w="75" w:type="dxa"/>
        </w:tblCellMar>
      </w:tblPr>
      <w:tblGrid>
        <w:gridCol w:w="2842"/>
        <w:gridCol w:w="795"/>
        <w:gridCol w:w="676"/>
        <w:gridCol w:w="677"/>
        <w:gridCol w:w="676"/>
        <w:gridCol w:w="638"/>
        <w:gridCol w:w="631"/>
        <w:gridCol w:w="678"/>
        <w:gridCol w:w="629"/>
        <w:gridCol w:w="1396"/>
      </w:tblGrid>
      <w:tr>
        <w:trPr>
          <w:trHeight w:val="350" w:hRule="atLeast"/>
        </w:trPr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autoSpaceDE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цели (целей) и задач, целевых показателей</w:t>
              <w:br/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autoSpaceDE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Едини-</w:t>
            </w:r>
          </w:p>
          <w:p>
            <w:pPr>
              <w:pStyle w:val="Style18"/>
              <w:widowControl w:val="false"/>
              <w:autoSpaceDE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ца</w:t>
              <w:br/>
              <w:t>измере-ния</w:t>
            </w:r>
          </w:p>
        </w:tc>
        <w:tc>
          <w:tcPr>
            <w:tcW w:w="4605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autoSpaceDE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Значение целевого показателя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widowControl w:val="false"/>
              <w:autoSpaceDE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Источник значений показателей</w:t>
            </w:r>
          </w:p>
        </w:tc>
      </w:tr>
      <w:tr>
        <w:trPr/>
        <w:tc>
          <w:tcPr>
            <w:tcW w:w="2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autoSpaceDE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2021</w:t>
            </w:r>
          </w:p>
          <w:p>
            <w:pPr>
              <w:pStyle w:val="Style18"/>
              <w:widowControl w:val="false"/>
              <w:autoSpaceDE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год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2022</w:t>
            </w:r>
          </w:p>
          <w:p>
            <w:pPr>
              <w:pStyle w:val="Style1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год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2023</w:t>
            </w:r>
          </w:p>
          <w:p>
            <w:pPr>
              <w:pStyle w:val="Style1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год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2024 год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2025 год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2026</w:t>
            </w:r>
          </w:p>
          <w:p>
            <w:pPr>
              <w:pStyle w:val="Style1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год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2027 год</w:t>
            </w:r>
          </w:p>
        </w:tc>
        <w:tc>
          <w:tcPr>
            <w:tcW w:w="1396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8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5000" w:type="pct"/>
        <w:jc w:val="center"/>
        <w:tblInd w:w="0" w:type="dxa"/>
        <w:tblCellMar>
          <w:top w:w="0" w:type="dxa"/>
          <w:left w:w="75" w:type="dxa"/>
          <w:bottom w:w="0" w:type="dxa"/>
          <w:right w:w="75" w:type="dxa"/>
        </w:tblCellMar>
      </w:tblPr>
      <w:tblGrid>
        <w:gridCol w:w="2842"/>
        <w:gridCol w:w="868"/>
        <w:gridCol w:w="650"/>
        <w:gridCol w:w="650"/>
        <w:gridCol w:w="649"/>
        <w:gridCol w:w="650"/>
        <w:gridCol w:w="652"/>
        <w:gridCol w:w="649"/>
        <w:gridCol w:w="607"/>
        <w:gridCol w:w="1421"/>
      </w:tblGrid>
      <w:tr>
        <w:trPr>
          <w:tblHeader w:val="true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autoSpaceDE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autoSpaceDE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autoSpaceDE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autoSpaceDE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autoSpaceDE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autoSpaceDE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autoSpaceDE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autoSpaceDE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autoSpaceDE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widowControl w:val="false"/>
              <w:autoSpaceDE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</w:tr>
    </w:tbl>
    <w:p>
      <w:pPr>
        <w:pStyle w:val="Style18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5000" w:type="pct"/>
        <w:jc w:val="center"/>
        <w:tblInd w:w="0" w:type="dxa"/>
        <w:tblCellMar>
          <w:top w:w="0" w:type="dxa"/>
          <w:left w:w="75" w:type="dxa"/>
          <w:bottom w:w="0" w:type="dxa"/>
          <w:right w:w="75" w:type="dxa"/>
        </w:tblCellMar>
      </w:tblPr>
      <w:tblGrid>
        <w:gridCol w:w="2874"/>
        <w:gridCol w:w="744"/>
        <w:gridCol w:w="648"/>
        <w:gridCol w:w="744"/>
        <w:gridCol w:w="649"/>
        <w:gridCol w:w="650"/>
        <w:gridCol w:w="558"/>
        <w:gridCol w:w="741"/>
        <w:gridCol w:w="522"/>
        <w:gridCol w:w="1508"/>
      </w:tblGrid>
      <w:tr>
        <w:trPr/>
        <w:tc>
          <w:tcPr>
            <w:tcW w:w="96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/>
            </w:pPr>
            <w:r>
              <w:rPr>
                <w:rStyle w:val="Style11"/>
                <w:rFonts w:ascii="Liberation Serif" w:hAnsi="Liberation Serif"/>
                <w:bCs/>
              </w:rPr>
              <w:t>Подпрограмма  12 «</w:t>
            </w:r>
            <w:r>
              <w:rPr>
                <w:rStyle w:val="Style11"/>
                <w:rFonts w:ascii="Liberation Serif" w:hAnsi="Liberation Serif"/>
              </w:rPr>
              <w:t>Развитие инженерной школы в Камышловском городском округе»</w:t>
            </w:r>
          </w:p>
        </w:tc>
      </w:tr>
      <w:tr>
        <w:trPr/>
        <w:tc>
          <w:tcPr>
            <w:tcW w:w="9638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rStyle w:val="Style11"/>
                <w:rFonts w:ascii="Liberation Serif" w:hAnsi="Liberation Serif"/>
              </w:rPr>
              <w:t xml:space="preserve">Цель  12.1. </w:t>
            </w:r>
            <w:r>
              <w:rPr>
                <w:rStyle w:val="Style11"/>
                <w:rFonts w:eastAsia="Calibri" w:ascii="Liberation Serif" w:hAnsi="Liberation Serif"/>
                <w:lang w:eastAsia="en-US"/>
              </w:rPr>
              <w:t>Обеспечение условий для подготовки рабочих и инженерных кадров в масштабах и с качеством, удовлетворяющим текущие и перспективные потребности экономики, с учетом программ развития промышленного сектора экономики, обеспечения импортозамещения и возвращения отечественным предприятиям технологического лидерства</w:t>
            </w:r>
          </w:p>
        </w:tc>
      </w:tr>
      <w:tr>
        <w:trPr/>
        <w:tc>
          <w:tcPr>
            <w:tcW w:w="9638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rStyle w:val="Style11"/>
                <w:rFonts w:ascii="Liberation Serif" w:hAnsi="Liberation Serif"/>
              </w:rPr>
              <w:t>Задача 12.1.1. «</w:t>
            </w:r>
            <w:r>
              <w:rPr>
                <w:rStyle w:val="Style11"/>
                <w:rFonts w:eastAsia="Calibri" w:ascii="Liberation Serif" w:hAnsi="Liberation Serif"/>
                <w:lang w:eastAsia="en-US"/>
              </w:rPr>
              <w:t>Создание условий, обеспечивающих возможность реализации права граждан на непрерывное образование по инженерно-техническим специальностям</w:t>
            </w:r>
            <w:r>
              <w:rPr>
                <w:rStyle w:val="Style11"/>
                <w:rFonts w:ascii="Liberation Serif" w:hAnsi="Liberation Serif"/>
              </w:rPr>
              <w:t>»</w:t>
            </w:r>
          </w:p>
        </w:tc>
      </w:tr>
      <w:tr>
        <w:trPr/>
        <w:tc>
          <w:tcPr>
            <w:tcW w:w="28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Целевой показатель 12.1.1.1.</w:t>
            </w:r>
          </w:p>
          <w:p>
            <w:pPr>
              <w:pStyle w:val="Style18"/>
              <w:autoSpaceDE w:val="false"/>
              <w:rPr>
                <w:rFonts w:ascii="Liberation Serif" w:hAnsi="Liberation Serif" w:eastAsia="Calibri"/>
                <w:lang w:eastAsia="en-US"/>
              </w:rPr>
            </w:pPr>
            <w:r>
              <w:rPr>
                <w:rFonts w:eastAsia="Calibri" w:ascii="Liberation Serif" w:hAnsi="Liberation Serif"/>
                <w:lang w:eastAsia="en-US"/>
              </w:rPr>
              <w:t>Количество обучающихся - участников сетевых форм взаимодействия образовательных организаций по созданию и совместному использованию материально-технических, кадровых, учебно-методических ресурсов для совместной реализации образовательных программ, содержащих модули, направленные на развитие познавательных способностей детей, поддержку технического творчества и компетенций конструирования, моделирования, программирования, изучения основ проектной деятельности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человек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540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594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653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718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789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868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955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Государственная программа Свердловской области «Развитие системы образованияи реализация молодежной политики в Свердловской области до 2025 года», утвержденная Постановлением Правительства Свердловской области от 19.12.2019 №920-ПП (ред. от 12.11.2020) (далее- Государственная программа до 2025 года)</w:t>
            </w:r>
          </w:p>
        </w:tc>
      </w:tr>
      <w:tr>
        <w:trPr/>
        <w:tc>
          <w:tcPr>
            <w:tcW w:w="28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Целевой показатель 12.1.1.2.</w:t>
            </w:r>
          </w:p>
          <w:p>
            <w:pPr>
              <w:pStyle w:val="Style1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Количество модернизированных кабинетов естественно- научного цикла (нарастающим итогом)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единиц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Государственная программа до 2025 года</w:t>
            </w:r>
          </w:p>
        </w:tc>
      </w:tr>
      <w:tr>
        <w:trPr/>
        <w:tc>
          <w:tcPr>
            <w:tcW w:w="28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Целевой показатель 12.1.1.3.</w:t>
            </w:r>
          </w:p>
          <w:p>
            <w:pPr>
              <w:pStyle w:val="Style18"/>
              <w:autoSpaceDE w:val="false"/>
              <w:rPr>
                <w:rFonts w:ascii="Liberation Serif" w:hAnsi="Liberation Serif" w:eastAsia="Calibri"/>
                <w:lang w:eastAsia="en-US"/>
              </w:rPr>
            </w:pPr>
            <w:r>
              <w:rPr>
                <w:rFonts w:eastAsia="Calibri" w:ascii="Liberation Serif" w:hAnsi="Liberation Serif"/>
                <w:lang w:eastAsia="en-US"/>
              </w:rPr>
              <w:t>Количество образовательных организаций, реализующих программы дополнительного образования технической и естественно-научной направленности на условиях сетевого взаимодействия с государственным автономным нетиповым образовательным учреждением Свердловской области «Дворец молодежи»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единиц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Государственная программа до 2025 года</w:t>
            </w:r>
          </w:p>
        </w:tc>
      </w:tr>
      <w:tr>
        <w:trPr/>
        <w:tc>
          <w:tcPr>
            <w:tcW w:w="9638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rStyle w:val="Style11"/>
                <w:rFonts w:ascii="Liberation Serif" w:hAnsi="Liberation Serif"/>
              </w:rPr>
              <w:t xml:space="preserve">Задача 12.1.2. «Создание условий для реализации образовательных программ по наиболее востребованным и перспективным </w:t>
            </w:r>
            <w:r>
              <w:rPr>
                <w:rStyle w:val="Style11"/>
                <w:rFonts w:eastAsia="Calibri" w:ascii="Liberation Serif" w:hAnsi="Liberation Serif"/>
                <w:lang w:eastAsia="en-US"/>
              </w:rPr>
              <w:t>профессиям и специальностям»</w:t>
            </w:r>
          </w:p>
        </w:tc>
      </w:tr>
      <w:tr>
        <w:trPr/>
        <w:tc>
          <w:tcPr>
            <w:tcW w:w="28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Целевой показатель 12.1.2.1.</w:t>
            </w:r>
          </w:p>
          <w:p>
            <w:pPr>
              <w:pStyle w:val="Style18"/>
              <w:autoSpaceDE w:val="false"/>
              <w:rPr>
                <w:rFonts w:ascii="Liberation Serif" w:hAnsi="Liberation Serif" w:eastAsia="Calibri"/>
                <w:lang w:eastAsia="en-US"/>
              </w:rPr>
            </w:pPr>
            <w:r>
              <w:rPr>
                <w:rFonts w:eastAsia="Calibri" w:ascii="Liberation Serif" w:hAnsi="Liberation Serif"/>
                <w:lang w:eastAsia="en-US"/>
              </w:rPr>
              <w:t>Количество образовательных организаций, заключивших соглашение о взаимодействии с негосударственными организациями, осуществляющими образовательную деятельность в сфере дополнительного образования детей технической направленности, и негосударственными организациями, осуществляющими поддержку технического творчества детей (нарастающим итогом)</w:t>
            </w:r>
          </w:p>
          <w:p>
            <w:pPr>
              <w:pStyle w:val="Style1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Style1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единиц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Государственная программа до 2025 года</w:t>
            </w:r>
          </w:p>
        </w:tc>
      </w:tr>
      <w:tr>
        <w:trPr/>
        <w:tc>
          <w:tcPr>
            <w:tcW w:w="28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Целевой показатель 12.1.2.2.</w:t>
            </w:r>
          </w:p>
          <w:p>
            <w:pPr>
              <w:pStyle w:val="Style18"/>
              <w:autoSpaceDE w:val="false"/>
              <w:rPr>
                <w:rFonts w:ascii="Liberation Serif" w:hAnsi="Liberation Serif" w:eastAsia="Calibri"/>
                <w:lang w:eastAsia="en-US"/>
              </w:rPr>
            </w:pPr>
            <w:r>
              <w:rPr>
                <w:rFonts w:eastAsia="Calibri" w:ascii="Liberation Serif" w:hAnsi="Liberation Serif"/>
                <w:lang w:eastAsia="en-US"/>
              </w:rPr>
              <w:t>Доля молодых граждан в возрасте от 14 до 17 лет, охваченных различными формами профессиональной ориентации, в общей численности граждан - участников профориентационных мероприятий (ежегодно)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человек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880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968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1065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1172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1289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1418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1560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Государственная программа до 2025 года</w:t>
            </w:r>
          </w:p>
        </w:tc>
      </w:tr>
      <w:tr>
        <w:trPr/>
        <w:tc>
          <w:tcPr>
            <w:tcW w:w="9638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rStyle w:val="Style11"/>
                <w:rFonts w:ascii="Liberation Serif" w:hAnsi="Liberation Serif"/>
              </w:rPr>
              <w:t>Задача 12.1.3.</w:t>
            </w:r>
            <w:r>
              <w:rPr>
                <w:rStyle w:val="Style11"/>
                <w:rFonts w:eastAsia="Calibri" w:ascii="Liberation Serif" w:hAnsi="Liberation Serif"/>
                <w:lang w:eastAsia="en-US"/>
              </w:rPr>
              <w:t xml:space="preserve"> «Модернизация материально-технической, учебно-методической базы муниципальных образовательных организаций Свердловской области, осуществляющих реализацию программ цифрового, естественно-научного и гуманитарного профилей»</w:t>
            </w:r>
          </w:p>
        </w:tc>
      </w:tr>
      <w:tr>
        <w:trPr/>
        <w:tc>
          <w:tcPr>
            <w:tcW w:w="28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Целевой показатель 12.1.3.1.</w:t>
            </w:r>
          </w:p>
          <w:p>
            <w:pPr>
              <w:pStyle w:val="Style18"/>
              <w:autoSpaceDE w:val="false"/>
              <w:rPr>
                <w:rFonts w:ascii="Liberation Serif" w:hAnsi="Liberation Serif" w:eastAsia="Calibri"/>
                <w:lang w:eastAsia="en-US"/>
              </w:rPr>
            </w:pPr>
            <w:r>
              <w:rPr>
                <w:rFonts w:eastAsia="Calibri" w:ascii="Liberation Serif" w:hAnsi="Liberation Serif"/>
                <w:lang w:eastAsia="en-US"/>
              </w:rPr>
              <w:t>Численность учащихся общеобразовательных организаций, осваивающих дополнительные общеобразовательные программы технической направленности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человек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683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751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826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909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999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1099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1209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Государственная программа до 2025 года</w:t>
            </w:r>
          </w:p>
        </w:tc>
      </w:tr>
    </w:tbl>
    <w:p>
      <w:pPr>
        <w:pStyle w:val="ConsPlusCel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Style18"/>
        <w:ind w:left="0" w:righ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Настоящее постановление разместить на официальном сайте Камышловского городского округа в информационно-телекоммуникационной сети «Интернет».</w:t>
      </w:r>
    </w:p>
    <w:p>
      <w:pPr>
        <w:pStyle w:val="Style32"/>
        <w:tabs>
          <w:tab w:val="left" w:pos="851" w:leader="none"/>
        </w:tabs>
        <w:spacing w:lineRule="auto" w:line="240" w:before="0" w:after="0"/>
        <w:ind w:left="0" w:right="0" w:firstLine="72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4. Контроль за исполнением настоящего постановления возложить на заместителя главы администрации Камышловского городского округа          Соболеву А.А.</w:t>
      </w:r>
    </w:p>
    <w:p>
      <w:pPr>
        <w:pStyle w:val="Style1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8"/>
        <w:tabs>
          <w:tab w:val="clear" w:pos="708"/>
          <w:tab w:val="left" w:pos="900" w:leader="none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8"/>
        <w:tabs>
          <w:tab w:val="clear" w:pos="708"/>
          <w:tab w:val="left" w:pos="720" w:leader="none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</w:t>
      </w:r>
    </w:p>
    <w:p>
      <w:pPr>
        <w:pStyle w:val="Style18"/>
        <w:tabs>
          <w:tab w:val="clear" w:pos="708"/>
          <w:tab w:val="left" w:pos="720" w:leader="none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Камышловского городского округа                                               А.В. Половников</w:t>
      </w:r>
    </w:p>
    <w:sectPr>
      <w:headerReference w:type="default" r:id="rId4"/>
      <w:type w:val="nextPage"/>
      <w:pgSz w:w="11906" w:h="16838"/>
      <w:pgMar w:left="1701" w:right="567" w:header="1134" w:top="1559" w:footer="0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  <w:font w:name="Liberation Serif">
    <w:altName w:val="Times New Roman"/>
    <w:charset w:val="cc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jc w:val="center"/>
      <w:rPr/>
    </w:pPr>
    <w:r>
      <w:rPr/>
      <w:fldChar w:fldCharType="begin"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2075" cy="203835"/>
              <wp:effectExtent l="0" t="0" r="0" b="0"/>
              <wp:wrapSquare wrapText="bothSides"/>
              <wp:docPr id="2" name="Поле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" cy="2030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126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Поле 1" stroked="f" style="position:absolute;margin-left:237.35pt;margin-top:0.05pt;width:7.15pt;height:15.95pt;mso-position-horizontal:center;mso-position-horizontal-relative:margin">
              <w10:wrap type="none"/>
              <v:fill o:detectmouseclick="t" on="false"/>
              <v:stroke color="#41719c" weight="12600" joinstyle="miter" endcap="flat"/>
            </v:shape>
          </w:pict>
        </mc:Fallback>
      </mc:AlternateContent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jc w:val="center"/>
      <w:rPr/>
    </w:pPr>
    <w:r>
      <w:rPr/>
      <w:fldChar w:fldCharType="begin"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2075" cy="203835"/>
              <wp:effectExtent l="0" t="0" r="0" b="0"/>
              <wp:wrapSquare wrapText="bothSides"/>
              <wp:docPr id="3" name="Поле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" cy="2030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126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Поле 1" stroked="f" style="position:absolute;margin-left:237.35pt;margin-top:0.05pt;width:7.15pt;height:15.95pt;mso-position-horizontal:center;mso-position-horizontal-relative:margin">
              <w10:wrap type="none"/>
              <v:fill o:detectmouseclick="t" on="false"/>
              <v:stroke color="#41719c" weight="12600" joinstyle="miter" endcap="flat"/>
            </v:shape>
          </w:pict>
        </mc:Fallback>
      </mc:AlternateContent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ru-RU" w:bidi="ar-SA"/>
    </w:rPr>
  </w:style>
  <w:style w:type="paragraph" w:styleId="1">
    <w:name w:val="Heading 1"/>
    <w:basedOn w:val="Style18"/>
    <w:next w:val="Style18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b/>
    </w:rPr>
  </w:style>
  <w:style w:type="paragraph" w:styleId="3">
    <w:name w:val="Heading 3"/>
    <w:basedOn w:val="Style18"/>
    <w:next w:val="Style18"/>
    <w:qFormat/>
    <w:pPr>
      <w:keepNext w:val="true"/>
      <w:numPr>
        <w:ilvl w:val="2"/>
        <w:numId w:val="1"/>
      </w:numPr>
      <w:suppressAutoHyphens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Style18"/>
    <w:next w:val="Style18"/>
    <w:qFormat/>
    <w:pPr>
      <w:keepNext w:val="true"/>
      <w:numPr>
        <w:ilvl w:val="3"/>
        <w:numId w:val="1"/>
      </w:numPr>
      <w:suppressAutoHyphens w:val="true"/>
      <w:spacing w:before="240" w:after="60"/>
      <w:outlineLvl w:val="3"/>
    </w:pPr>
    <w:rPr>
      <w:b/>
      <w:bCs/>
      <w:szCs w:val="28"/>
    </w:rPr>
  </w:style>
  <w:style w:type="character" w:styleId="Style11">
    <w:name w:val="Основной шрифт абзаца"/>
    <w:qFormat/>
    <w:rPr/>
  </w:style>
  <w:style w:type="character" w:styleId="Style12">
    <w:name w:val="Номер страницы"/>
    <w:basedOn w:val="Style11"/>
    <w:rPr/>
  </w:style>
  <w:style w:type="character" w:styleId="Style13">
    <w:name w:val="Интернет-ссылка"/>
    <w:rPr>
      <w:color w:val="0000FF"/>
      <w:u w:val="single"/>
    </w:rPr>
  </w:style>
  <w:style w:type="character" w:styleId="2">
    <w:name w:val="Основной текст (2)_"/>
    <w:qFormat/>
    <w:rPr>
      <w:b/>
      <w:bCs/>
      <w:i/>
      <w:iCs/>
      <w:spacing w:val="2"/>
      <w:sz w:val="25"/>
      <w:szCs w:val="25"/>
      <w:lang w:bidi="ar-SA"/>
    </w:rPr>
  </w:style>
  <w:style w:type="character" w:styleId="11">
    <w:name w:val="Основной текст + Полужирный1"/>
    <w:qFormat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Style14">
    <w:name w:val="Основной текст Знак"/>
    <w:qFormat/>
    <w:rPr>
      <w:b/>
      <w:sz w:val="24"/>
      <w:lang w:val="ru-RU" w:eastAsia="ru-RU" w:bidi="ar-SA"/>
    </w:rPr>
  </w:style>
  <w:style w:type="character" w:styleId="12">
    <w:name w:val="Заголовок №1_"/>
    <w:qFormat/>
    <w:rPr>
      <w:b/>
      <w:bCs/>
      <w:spacing w:val="10"/>
      <w:sz w:val="24"/>
      <w:szCs w:val="24"/>
      <w:lang w:bidi="ar-SA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6">
    <w:name w:val="Заголовок"/>
    <w:basedOn w:val="Style18"/>
    <w:next w:val="Style17"/>
    <w:qFormat/>
    <w:pPr>
      <w:keepNext w:val="true"/>
      <w:suppressAutoHyphens w:val="true"/>
      <w:spacing w:before="240" w:after="120"/>
    </w:pPr>
    <w:rPr>
      <w:rFonts w:ascii="Liberation Sans" w:hAnsi="Liberation Sans" w:eastAsia="Tahoma" w:cs="Arial"/>
      <w:sz w:val="28"/>
      <w:szCs w:val="28"/>
    </w:rPr>
  </w:style>
  <w:style w:type="paragraph" w:styleId="Style17">
    <w:name w:val="Body Text"/>
    <w:basedOn w:val="Style18"/>
    <w:pPr>
      <w:suppressAutoHyphens w:val="true"/>
      <w:jc w:val="center"/>
    </w:pPr>
    <w:rPr>
      <w:b/>
    </w:rPr>
  </w:style>
  <w:style w:type="paragraph" w:styleId="Style18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ru-RU" w:eastAsia="ru-RU" w:bidi="ar-SA"/>
    </w:rPr>
  </w:style>
  <w:style w:type="paragraph" w:styleId="Style19">
    <w:name w:val="List"/>
    <w:basedOn w:val="Style17"/>
    <w:pPr>
      <w:suppressAutoHyphens w:val="true"/>
    </w:pPr>
    <w:rPr>
      <w:rFonts w:cs="Arial"/>
    </w:rPr>
  </w:style>
  <w:style w:type="paragraph" w:styleId="Style20">
    <w:name w:val="Название объекта"/>
    <w:basedOn w:val="Style18"/>
    <w:qFormat/>
    <w:pPr>
      <w:suppressLineNumbers/>
      <w:suppressAutoHyphens w:val="true"/>
      <w:spacing w:before="120" w:after="120"/>
    </w:pPr>
    <w:rPr>
      <w:rFonts w:cs="Arial"/>
      <w:i/>
      <w:iCs/>
    </w:rPr>
  </w:style>
  <w:style w:type="paragraph" w:styleId="Style21">
    <w:name w:val="Указатель"/>
    <w:basedOn w:val="Style18"/>
    <w:qFormat/>
    <w:pPr>
      <w:suppressLineNumbers/>
      <w:suppressAutoHyphens w:val="true"/>
    </w:pPr>
    <w:rPr>
      <w:rFonts w:cs="Arial"/>
    </w:rPr>
  </w:style>
  <w:style w:type="paragraph" w:styleId="Style22">
    <w:name w:val="Верхний и нижний колонтитулы"/>
    <w:basedOn w:val="Style18"/>
    <w:qFormat/>
    <w:pPr>
      <w:suppressAutoHyphens w:val="true"/>
    </w:pPr>
    <w:rPr/>
  </w:style>
  <w:style w:type="paragraph" w:styleId="Style23">
    <w:name w:val="Header"/>
    <w:basedOn w:val="Style18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24">
    <w:name w:val="Знак"/>
    <w:basedOn w:val="Style18"/>
    <w:qFormat/>
    <w:pPr>
      <w:suppressAutoHyphens w:val="true"/>
    </w:pPr>
    <w:rPr>
      <w:rFonts w:ascii="Verdana" w:hAnsi="Verdana" w:cs="Verdana"/>
      <w:sz w:val="20"/>
      <w:lang w:val="en-US" w:eastAsia="en-US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ru-RU" w:eastAsia="ru-RU" w:bidi="ar-SA"/>
    </w:rPr>
  </w:style>
  <w:style w:type="paragraph" w:styleId="21">
    <w:name w:val="Основной текст 2"/>
    <w:basedOn w:val="Style18"/>
    <w:qFormat/>
    <w:pPr>
      <w:suppressAutoHyphens w:val="true"/>
      <w:spacing w:lineRule="auto" w:line="480" w:before="0" w:after="120"/>
    </w:pPr>
    <w:rPr/>
  </w:style>
  <w:style w:type="paragraph" w:styleId="Style25">
    <w:name w:val="Body Text Indent"/>
    <w:basedOn w:val="Style18"/>
    <w:pPr>
      <w:tabs>
        <w:tab w:val="clear" w:pos="708"/>
      </w:tabs>
      <w:suppressAutoHyphens w:val="true"/>
      <w:spacing w:before="0" w:after="120"/>
      <w:ind w:left="283" w:right="0" w:hanging="0"/>
    </w:pPr>
    <w:rPr/>
  </w:style>
  <w:style w:type="paragraph" w:styleId="31">
    <w:name w:val="Основной текст с отступом 3"/>
    <w:basedOn w:val="Style18"/>
    <w:qFormat/>
    <w:pPr>
      <w:tabs>
        <w:tab w:val="clear" w:pos="708"/>
      </w:tabs>
      <w:suppressAutoHyphens w:val="true"/>
      <w:spacing w:before="0" w:after="120"/>
      <w:ind w:left="283" w:right="0" w:hanging="0"/>
    </w:pPr>
    <w:rPr>
      <w:sz w:val="16"/>
      <w:szCs w:val="16"/>
    </w:rPr>
  </w:style>
  <w:style w:type="paragraph" w:styleId="22">
    <w:name w:val="Основной текст с отступом 2"/>
    <w:basedOn w:val="Style18"/>
    <w:qFormat/>
    <w:pPr>
      <w:tabs>
        <w:tab w:val="clear" w:pos="708"/>
      </w:tabs>
      <w:suppressAutoHyphens w:val="true"/>
      <w:spacing w:lineRule="auto" w:line="480" w:before="0" w:after="120"/>
      <w:ind w:left="283" w:right="0" w:hanging="0"/>
    </w:pPr>
    <w:rPr>
      <w:sz w:val="20"/>
    </w:rPr>
  </w:style>
  <w:style w:type="paragraph" w:styleId="Style26">
    <w:name w:val="Обычный (веб)"/>
    <w:basedOn w:val="Style18"/>
    <w:qFormat/>
    <w:pPr>
      <w:suppressAutoHyphens w:val="true"/>
    </w:pPr>
    <w:rPr/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ind w:left="0" w:right="0" w:firstLine="720"/>
      <w:jc w:val="left"/>
      <w:textAlignment w:val="baseline"/>
    </w:pPr>
    <w:rPr>
      <w:rFonts w:ascii="Arial" w:hAnsi="Arial" w:cs="Arial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8"/>
      <w:sz w:val="28"/>
      <w:szCs w:val="20"/>
      <w:u w:val="none"/>
      <w:vertAlign w:val="baseline"/>
      <w:em w:val="none"/>
      <w:lang w:val="ru-RU" w:eastAsia="ru-RU" w:bidi="ar-SA"/>
    </w:rPr>
  </w:style>
  <w:style w:type="paragraph" w:styleId="Style27">
    <w:name w:val="Знак Знак Знак Знак Знак Знак Знак Знак Знак Знак"/>
    <w:basedOn w:val="Style18"/>
    <w:qFormat/>
    <w:pPr>
      <w:suppressAutoHyphens w:val="true"/>
      <w:spacing w:lineRule="exact" w:line="240" w:before="0" w:after="160"/>
    </w:pPr>
    <w:rPr>
      <w:rFonts w:ascii="Verdana" w:hAnsi="Verdana" w:cs="Verdana"/>
      <w:sz w:val="20"/>
      <w:lang w:val="en-US" w:eastAsia="en-US"/>
    </w:rPr>
  </w:style>
  <w:style w:type="paragraph" w:styleId="32">
    <w:name w:val="Основной текст 3"/>
    <w:basedOn w:val="Style18"/>
    <w:qFormat/>
    <w:pPr>
      <w:suppressAutoHyphens w:val="true"/>
      <w:spacing w:before="0" w:after="120"/>
    </w:pPr>
    <w:rPr>
      <w:sz w:val="16"/>
      <w:szCs w:val="16"/>
    </w:rPr>
  </w:style>
  <w:style w:type="paragraph" w:styleId="13">
    <w:name w:val="Знак1"/>
    <w:basedOn w:val="Style18"/>
    <w:qFormat/>
    <w:pPr>
      <w:widowControl w:val="false"/>
      <w:suppressAutoHyphens w:val="true"/>
      <w:jc w:val="both"/>
    </w:pPr>
    <w:rPr>
      <w:rFonts w:eastAsia="SimSun"/>
      <w:kern w:val="2"/>
      <w:sz w:val="21"/>
      <w:lang w:val="en-US" w:eastAsia="zh-CN"/>
    </w:rPr>
  </w:style>
  <w:style w:type="paragraph" w:styleId="Style28">
    <w:name w:val="Знак Знак Знак Знак"/>
    <w:basedOn w:val="Style18"/>
    <w:qFormat/>
    <w:pPr>
      <w:suppressAutoHyphens w:val="true"/>
    </w:pPr>
    <w:rPr>
      <w:rFonts w:ascii="Verdana" w:hAnsi="Verdana" w:cs="Verdana"/>
      <w:sz w:val="20"/>
      <w:lang w:val="en-US" w:eastAsia="en-US"/>
    </w:rPr>
  </w:style>
  <w:style w:type="paragraph" w:styleId="Style29">
    <w:name w:val="Footer"/>
    <w:basedOn w:val="Style18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23">
    <w:name w:val="Основной текст (2)"/>
    <w:basedOn w:val="Style18"/>
    <w:qFormat/>
    <w:pPr>
      <w:shd w:fill="FFFFFF" w:val="clear"/>
      <w:suppressAutoHyphens w:val="true"/>
      <w:spacing w:lineRule="exact" w:line="326" w:before="240" w:after="240"/>
      <w:jc w:val="center"/>
    </w:pPr>
    <w:rPr>
      <w:b/>
      <w:bCs/>
      <w:i/>
      <w:iCs/>
      <w:spacing w:val="2"/>
      <w:sz w:val="25"/>
      <w:szCs w:val="25"/>
    </w:rPr>
  </w:style>
  <w:style w:type="paragraph" w:styleId="14">
    <w:name w:val="Заголовок №1"/>
    <w:basedOn w:val="Style18"/>
    <w:qFormat/>
    <w:pPr>
      <w:numPr>
        <w:ilvl w:val="0"/>
        <w:numId w:val="0"/>
      </w:numPr>
      <w:shd w:fill="FFFFFF" w:val="clear"/>
      <w:suppressAutoHyphens w:val="true"/>
      <w:spacing w:lineRule="exact" w:line="326" w:before="0" w:after="600"/>
      <w:jc w:val="center"/>
      <w:outlineLvl w:val="0"/>
    </w:pPr>
    <w:rPr>
      <w:b/>
      <w:bCs/>
      <w:spacing w:val="10"/>
    </w:rPr>
  </w:style>
  <w:style w:type="paragraph" w:styleId="Style30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ru-RU" w:eastAsia="ru-RU" w:bidi="ar-SA"/>
    </w:rPr>
  </w:style>
  <w:style w:type="paragraph" w:styleId="Style31">
    <w:name w:val="Текст выноски"/>
    <w:basedOn w:val="Style18"/>
    <w:qFormat/>
    <w:pPr>
      <w:suppressAutoHyphens w:val="true"/>
    </w:pPr>
    <w:rPr>
      <w:rFonts w:ascii="Tahoma" w:hAnsi="Tahoma"/>
      <w:sz w:val="16"/>
      <w:szCs w:val="16"/>
    </w:rPr>
  </w:style>
  <w:style w:type="paragraph" w:styleId="ConsPlusCell">
    <w:name w:val="ConsPlusCel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8"/>
      <w:sz w:val="28"/>
      <w:szCs w:val="28"/>
      <w:u w:val="none"/>
      <w:vertAlign w:val="baseline"/>
      <w:em w:val="none"/>
      <w:lang w:val="ru-RU" w:eastAsia="ru-RU" w:bidi="ar-SA"/>
    </w:rPr>
  </w:style>
  <w:style w:type="paragraph" w:styleId="Style32">
    <w:name w:val="Абзац списка"/>
    <w:basedOn w:val="Style18"/>
    <w:qFormat/>
    <w:pPr>
      <w:tabs>
        <w:tab w:val="clear" w:pos="708"/>
      </w:tabs>
      <w:suppressAutoHyphens w:val="true"/>
      <w:spacing w:lineRule="auto" w:line="276" w:before="0" w:after="200"/>
      <w:ind w:left="720" w:right="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Style33">
    <w:name w:val="Содержимое врезки"/>
    <w:basedOn w:val="Style18"/>
    <w:qFormat/>
    <w:pPr>
      <w:suppressAutoHyphens w:val="true"/>
    </w:pPr>
    <w:rPr/>
  </w:style>
  <w:style w:type="paragraph" w:styleId="3294959b47f8601651d1c94b754bfda2a5c8b0e714da563fe90b98cef41456e9db9fe9049761426654245bb2dd862eecmsonormal">
    <w:name w:val="3294959b47f8601651d1c94b754bfda2a5c8b0e714da563fe90b98cef41456e9db9fe9049761426654245bb2dd862eecmsonormal"/>
    <w:basedOn w:val="Style18"/>
    <w:qFormat/>
    <w:pPr>
      <w:suppressAutoHyphens w:val="true"/>
      <w:spacing w:before="100" w:after="100"/>
    </w:pPr>
    <w:rPr/>
  </w:style>
  <w:style w:type="paragraph" w:styleId="Style34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LibreOffice/6.3.4.2$Windows_X86_64 LibreOffice_project/60da17e045e08f1793c57c00ba83cdfce946d0aa</Application>
  <Pages>5</Pages>
  <Words>914</Words>
  <CharactersWithSpaces>8146</CharactersWithSpaces>
  <Paragraphs>128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2021-02-02T03:05:00Z</dcterms:created>
  <dc:creator>Администратор</dc:creator>
  <dc:description/>
  <dc:language>ru-RU</dc:language>
  <cp:lastModifiedBy/>
  <cp:lastPrinted>2021-02-08T09:04:26Z</cp:lastPrinted>
  <dcterms:modified xsi:type="dcterms:W3CDTF">2021-02-08T09:04:45Z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