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/>
        <w:drawing>
          <wp:inline distT="0" distB="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6"/>
        <w:spacing w:before="0" w:after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left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4"/>
          <w:lang w:eastAsia="ru-RU"/>
        </w:rPr>
        <w:t>от 20.02.2021 N 13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4"/>
          <w:lang w:eastAsia="ru-RU"/>
        </w:rPr>
        <w:t>4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4"/>
          <w:lang w:eastAsia="ru-RU"/>
        </w:rPr>
        <w:tab/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>
          <w:rStyle w:val="Style14"/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Об отмене постановления главы Камышловского городского округа </w:t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от 15.01.2014 года № 37 «О порядке учета и оплаты объемов воды </w:t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 xml:space="preserve">на пожаротушение, ликвидацию аварий и стихийных бедствий </w:t>
      </w:r>
    </w:p>
    <w:p>
      <w:pPr>
        <w:pStyle w:val="Style16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на территории Камышловского городского округа»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В соответствии с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Постановлениями Правительства РФ от 12.02.1999 N 167 (ред. от 05.01.2015, с изм. от 24.11.2020) «Об утверждении Правил пользования системами коммунального водоснабжения и канализации в Российской Федерации», от 29 июля 2013 г. N 644</w:t>
      </w:r>
      <w:r>
        <w:rPr>
          <w:rStyle w:val="Style14"/>
          <w:rFonts w:ascii="Liberation Serif" w:hAnsi="Liberation Serif"/>
          <w:sz w:val="28"/>
          <w:szCs w:val="28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Уставом Камышловского городского округа, администрация Камышловского городского округа</w:t>
        <w:tab/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  <w:tab/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Считать утратившим силу постановление главы Камышловского городского округа от 15.01.2014 года № 37 «О порядке учета и оплаты объемов воды на пожаротушение, ликвидацию аварий и стихийных бедствий на территории Камышловского городского округа».</w:t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сети «Интернет».</w:t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>
      <w:pPr>
        <w:pStyle w:val="Style16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Глава 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Камышловского городского округа                                             А.В. Половников   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6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LibreOffice/6.3.4.2$Windows_X86_64 LibreOffice_project/60da17e045e08f1793c57c00ba83cdfce946d0aa</Application>
  <Pages>1</Pages>
  <Words>190</Words>
  <CharactersWithSpaces>1457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2021-02-20T13:25:45Z</cp:lastPrinted>
  <dcterms:modified xsi:type="dcterms:W3CDTF">2021-02-20T13:26:06Z</dcterms:modified>
  <cp:revision>16</cp:revision>
  <dc:subject/>
  <dc:title/>
</cp:coreProperties>
</file>