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от 29.05.2019  N 479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8"/>
        <w:jc w:val="center"/>
        <w:rPr>
          <w:rFonts w:ascii="Liberation Serif" w:hAnsi="Liberation Serif" w:cs="Times New Roman"/>
          <w:b/>
          <w:b/>
          <w:i/>
          <w:i/>
          <w:sz w:val="28"/>
          <w:szCs w:val="28"/>
        </w:rPr>
      </w:pPr>
      <w:bookmarkStart w:id="0" w:name="__DdeLink__11857_2804847472"/>
      <w:r>
        <w:rPr>
          <w:rFonts w:cs="Times New Roman" w:ascii="Liberation Serif" w:hAnsi="Liberation Serif"/>
          <w:b/>
          <w:i w:val="false"/>
          <w:iCs w:val="false"/>
          <w:sz w:val="28"/>
          <w:szCs w:val="28"/>
        </w:rPr>
        <w:t>Об утверждении Примерного положения об оплате труда работников муниципальных организаций дополнительного образования (детские школы искусств) Камышловского городского округа, в отношении которых Комитет по образованию, культуре, спорту и делам молодежи администрации Камышловского городского округа осуществляет функции и полномочия учредителя</w:t>
      </w:r>
      <w:bookmarkEnd w:id="0"/>
    </w:p>
    <w:p>
      <w:pPr>
        <w:pStyle w:val="ConsPlusNormal"/>
        <w:ind w:firstLine="708"/>
        <w:jc w:val="center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ConsPlusNormal"/>
        <w:ind w:firstLine="708"/>
        <w:jc w:val="center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ConsPlusNormal"/>
        <w:ind w:firstLine="708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соответствии с Трудовым кодексом Российской Федерации («Российская газета от 31.12.2001 г. № 256), постановлением Правительства Свердловской области от 21 февраля 2019 г. № 108-ПП "Об утверждении Примерного положения об оплате труда работников государственных профессиональных образовательных организаций и организаций дополнительного образования (детские школы искусств) Свердловской области, в отношении которых Министерство культуры Свердловской области осуществляет функции и полномочия учредителя", 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2019 год», утвержденными решением Российской трехсторонней комиссии по регулированию социально-трудовых отношений от 25.12.2018, протокол №12,  в целях совершенствования системы оплаты труда работников муниципальных организаций дополнительного образования (детские школы искусств) Камышловского городского округа, в отношении которых Комитет по образованию, культуре, спорту и делам молодежи администрации Камышловского городского округа осуществляет функции и полномочия учредителя, администрация Камышловского городского округа</w:t>
      </w:r>
    </w:p>
    <w:p>
      <w:pPr>
        <w:pStyle w:val="ConsPlusNormal"/>
        <w:ind w:firstLine="708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ПОСТАНОВЛЯЕТ :</w:t>
      </w:r>
    </w:p>
    <w:p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Утвердить Примерное положение об оплате труда работников муниципальных организаций дополнительного образования (детские школы искусств) Камышловского городского округа, в отношении которых Комитет по образованию, культуре, спорту и делам молодежи администрации Камышловского городского округа осуществляет функции и полномочия учредителя (прилагается).</w:t>
      </w:r>
    </w:p>
    <w:p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Признать утратившим силу постановление главы Камышловского городского округа от 03.04.2018г. №288 «Об утверждении Примерного положения об оплате труда работников муниципальных бюджетных и автономных образовательных организаций в сфере культуры Камышловского городского округа, в отношении которых Комитет по образованию, культуре, спорту и делам молодежи администрации Камышловского городского округа осуществляет функции и полномочия учредителя»</w:t>
      </w:r>
    </w:p>
    <w:p>
      <w:pPr>
        <w:pStyle w:val="ConsPlusNormal"/>
        <w:ind w:firstLine="709"/>
        <w:jc w:val="both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>3.</w:t>
      </w:r>
      <w:r>
        <w:rPr/>
        <w:t xml:space="preserve"> </w:t>
      </w:r>
      <w:r>
        <w:rPr>
          <w:rStyle w:val="Style14"/>
          <w:rFonts w:cs="Times New Roman" w:ascii="Liberation Serif" w:hAnsi="Liberation Serif"/>
          <w:sz w:val="28"/>
          <w:szCs w:val="28"/>
        </w:rPr>
        <w:t>Настоящее постановление распространяет свое действие на отношения, возникшие с 01.09.2019 года.</w:t>
      </w:r>
    </w:p>
    <w:p>
      <w:pPr>
        <w:pStyle w:val="ConsPlusNormal"/>
        <w:ind w:firstLine="708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 Настоящее постановление опубликовать на «Официальном сайте Камышловского городского округа» (www.gorod-kamyshlov.ru).</w:t>
      </w:r>
    </w:p>
    <w:p>
      <w:pPr>
        <w:pStyle w:val="ConsPlusNormal"/>
        <w:tabs>
          <w:tab w:val="clear" w:pos="708"/>
        </w:tabs>
        <w:ind w:left="-142" w:firstLine="85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 Контроль за исполнением настоящего Постановления возложить на председателя Комитета по образованию, культуре, спорту и делам молодежи администрации Камышловского городского округа Мишенькину А.А.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А.В. Половников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Times New Roman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ConsPlusTitlePage">
    <w:name w:val="ConsPlusTitlePag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ahoma" w:hAnsi="Tahoma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Текст выноски"/>
    <w:basedOn w:val="Style23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6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LibreOffice/6.1.4.2$Windows_X86_64 LibreOffice_project/9d0f32d1f0b509096fd65e0d4bec26ddd1938fd3</Application>
  <Pages>2</Pages>
  <Words>338</Words>
  <Characters>2593</Characters>
  <CharactersWithSpaces>2964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2019-05-16T09:08:00Z</dcterms:created>
  <dc:creator>Пользователь Windows</dc:creator>
  <dc:description/>
  <dc:language>ru-RU</dc:language>
  <cp:lastModifiedBy/>
  <cp:lastPrinted>2019-05-30T12:45:13Z</cp:lastPrinted>
  <dcterms:modified xsi:type="dcterms:W3CDTF">2019-05-30T12:45:18Z</dcterms:modified>
  <cp:revision>7</cp:revision>
  <dc:subject/>
  <dc:title/>
</cp:coreProperties>
</file>