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jc w:val="center"/>
        <w:rPr/>
      </w:pPr>
      <w:r>
        <w:rPr/>
        <w:object w:dxaOrig="1756" w:dyaOrig="2716">
          <v:shape id="ole_rId2" style="width:38.25pt;height:59.95pt" o:ole="">
            <v:imagedata r:id="rId3" o:title=""/>
          </v:shape>
          <o:OLEObject Type="Embed" ProgID="" ShapeID="ole_rId2" DrawAspect="Content" ObjectID="_737222074" r:id="rId2"/>
        </w:object>
      </w:r>
    </w:p>
    <w:p>
      <w:pPr>
        <w:pStyle w:val="Style27"/>
        <w:bidi w:val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7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</w:rPr>
        <w:t>от 15.12.2020  N 85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</w:rPr>
        <w:t>9</w:t>
      </w:r>
    </w:p>
    <w:p>
      <w:pPr>
        <w:pStyle w:val="Normal"/>
        <w:ind w:left="567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</w:r>
    </w:p>
    <w:p>
      <w:pPr>
        <w:pStyle w:val="Normal"/>
        <w:ind w:left="567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О внесении изменений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 г № 870 «Об утверждении схемы размещения  </w:t>
      </w:r>
    </w:p>
    <w:p>
      <w:pPr>
        <w:pStyle w:val="Normal"/>
        <w:ind w:left="567" w:right="0" w:hanging="0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нестационарных торговых объектов на территории 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 xml:space="preserve">Камышловского городского округа» ( с изменениями внесенными постановлениями от 04.05.2018 №398, от 25.12.2018 №1165, от 27.12.2019 №1125, от 18.05.2020 №326, от 29.07.2020 №503, от 08.09.2020 №586, от 13.10.2020 №696, 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от 12.11.2020 №787</w:t>
      </w: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  <w:szCs w:val="28"/>
        </w:rPr>
        <w:t>)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 («Российская газета», N 253, 30.12.2009),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24.09.2010 г. №754» («Собрание законодательства РФ», 18.04.2016, N 16, ст. 2228),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РФ», 04.10.2010, N 40, ст. 5097, «Российская газета», N 225, 06.10.2010),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ред. от 22.11.2017, с изм. От 15.02.2019)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(</w:t>
      </w:r>
      <w:r>
        <w:rPr>
          <w:rFonts w:cs="Liberation Serif;Times New Roman" w:ascii="Liberation Serif;Times New Roman" w:hAnsi="Liberation Serif;Times New Roman"/>
          <w:bCs/>
          <w:sz w:val="28"/>
          <w:szCs w:val="28"/>
        </w:rPr>
        <w:t>«Областная газета», N 80, 06.05.2017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), руководствуясь Уставом Камышловского городского округа, в связи с заявлением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индивидуального предпринимателя,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1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 Внести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21.09.2017г №870 «Об утверждении схемы размещения нестационарных торговых объектов на территории Камышловского городского округа» (далее - Схему) следующ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е изменени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я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:</w:t>
      </w:r>
    </w:p>
    <w:p>
      <w:pPr>
        <w:pStyle w:val="Normal"/>
        <w:ind w:left="0" w:right="0" w:firstLine="720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в строке с учетным номером места размещения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141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в колонке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3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Адресные ориентиры места размещения нестационарного торгового объекта (георграфические координаты)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«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Куйбышева, 114 г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» заменить на «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Куйбышева, 114 / 1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в строке с учетным номером места размещения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145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в колонке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3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Адресные ориентиры места размещения нестационарного торгового объекта (георграфические координаты)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«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Куйбышева, 114 д»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заменить на «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Куйбышева, 114 / 2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»,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в колонке 10 Статус места размещения нестационарного торгового объекта (действующее,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перспективное) «перспективное» заменить на «действующее»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в строке с учетным номером места размещения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78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в колонке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10 Статус места размещения нестационарного торгового объекта (действующее,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перспективное) «перспективное» заменить на «действующее»;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в строке с учетным номером места размещения 34 в колонке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10 Статус места размещения нестационарного торгового объекта (действующее,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перспективное) «перспективное» заменить на «действующее»;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в строке с учетным номером места размещения 136 в колонке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10 Статус места размещения нестационарного торгового объекта (действующее,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перспективное) «действующее» заменить на «перспективное»;</w:t>
      </w:r>
    </w:p>
    <w:p>
      <w:pPr>
        <w:pStyle w:val="Normal"/>
        <w:ind w:left="0" w:right="0" w:firstLine="720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добавить в Схему строку с учетным номером места размещения 14</w:t>
      </w:r>
      <w:r>
        <w:rPr>
          <w:rFonts w:eastAsia="Times New Roman" w:cs="Liberation Serif;Times New Roman" w:ascii="Liberation Serif;Times New Roman" w:hAnsi="Liberation Serif;Times New Roman"/>
          <w:color w:val="auto"/>
          <w:sz w:val="28"/>
          <w:szCs w:val="28"/>
          <w:lang w:val="ru-RU" w:eastAsia="ru-RU" w:bidi="ar-SA"/>
        </w:rPr>
        <w:t>9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, адресные ориентиры места размещения нестационарного торгового объекта (географические координаты) —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Куйбышева, 114 /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3 , вид нестационарного торгового объекта - павильон, специализация нестационарного торгового объекта - непродовольственные товары, </w:t>
      </w:r>
      <w:r>
        <w:rPr>
          <w:rFonts w:eastAsia="Liberation Serif" w:cs="Liberation Serif;Times New Roman" w:ascii="Liberation Serif;Times New Roman" w:hAnsi="Liberation Serif;Times New Roman"/>
          <w:sz w:val="28"/>
          <w:szCs w:val="28"/>
          <w:lang w:eastAsia="ru-RU"/>
        </w:rPr>
        <w:t>у</w:t>
      </w:r>
      <w:r>
        <w:rPr>
          <w:rFonts w:eastAsia="Liberation Serif"/>
          <w:sz w:val="28"/>
          <w:szCs w:val="28"/>
          <w:lang w:eastAsia="ru-RU"/>
        </w:rPr>
        <w:t>слуги,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 xml:space="preserve"> площадь нестационарного торгового объекта (квадратных метров) - 60, собственник земельного участка, на котором расположен нестационарный торговый объект - государственная, статус места размещения нестационарного торгового объекта (действующее, перспективное) — перспективное.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2. </w:t>
      </w:r>
      <w:r>
        <w:rPr>
          <w:rFonts w:cs="Liberation Serif;Times New Roman" w:ascii="Liberation Serif;Times New Roman" w:hAnsi="Liberation Serif;Times New Roman"/>
          <w:sz w:val="28"/>
          <w:szCs w:val="28"/>
          <w:lang w:eastAsia="ru-RU"/>
        </w:rPr>
        <w:t>Отделу архитектуры и градостроительства администрации Камышловского городского округа (Нифонтова Т.В.) в течении 10 рабочих дней после утверждения данного Постановления подготовить графический вариант на картографической основе.</w:t>
      </w:r>
    </w:p>
    <w:p>
      <w:pPr>
        <w:pStyle w:val="Normal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. Настоящее постановление разместить на официальном сайте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4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. Контроль выполнения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autoSpaceDE w:val="false"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907" w:top="1421" w:footer="0" w:bottom="90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2">
    <w:name w:val="Знак1"/>
    <w:basedOn w:val="Normal"/>
    <w:qFormat/>
    <w:pPr>
      <w:widowControl/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Style2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ahoma" w:cs="Ari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892</TotalTime>
  <Application>LibreOffice/6.3.4.2$Windows_X86_64 LibreOffice_project/60da17e045e08f1793c57c00ba83cdfce946d0aa</Application>
  <Pages>2</Pages>
  <Words>576</Words>
  <CharactersWithSpaces>4853</CharactersWithSpaces>
  <Paragraphs>22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n.vyatchinova</dc:creator>
  <dc:description/>
  <dc:language>ru-RU</dc:language>
  <cp:lastModifiedBy/>
  <cp:lastPrinted>2020-12-15T15:31:14Z</cp:lastPrinted>
  <dcterms:modified xsi:type="dcterms:W3CDTF">2020-12-15T15:31:24Z</dcterms:modified>
  <cp:revision>40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