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7A" w:rsidRDefault="00BF727A" w:rsidP="00BF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4B445" wp14:editId="28D47CA1">
            <wp:extent cx="563245" cy="7334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7A" w:rsidRDefault="00BF727A" w:rsidP="00BF727A">
      <w:pPr>
        <w:pStyle w:val="3"/>
        <w:rPr>
          <w:szCs w:val="28"/>
        </w:rPr>
      </w:pPr>
      <w:r>
        <w:rPr>
          <w:szCs w:val="28"/>
        </w:rPr>
        <w:t xml:space="preserve"> АДМИНИСТРАЦИЯ </w:t>
      </w:r>
    </w:p>
    <w:p w:rsidR="00BF727A" w:rsidRDefault="00BF727A" w:rsidP="00BF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BF727A" w:rsidRDefault="00BF727A" w:rsidP="00BF727A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727A" w:rsidRDefault="00BF727A" w:rsidP="00BF72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27A" w:rsidRDefault="00801152" w:rsidP="00BF7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05.03.</w:t>
      </w:r>
      <w:r w:rsidR="00BF727A">
        <w:rPr>
          <w:rFonts w:ascii="Times New Roman" w:hAnsi="Times New Roman" w:cs="Times New Roman"/>
          <w:b/>
          <w:sz w:val="24"/>
          <w:szCs w:val="24"/>
        </w:rPr>
        <w:t xml:space="preserve">2018г. № </w:t>
      </w:r>
      <w:r>
        <w:rPr>
          <w:rFonts w:ascii="Times New Roman" w:hAnsi="Times New Roman" w:cs="Times New Roman"/>
          <w:b/>
          <w:sz w:val="24"/>
          <w:szCs w:val="24"/>
        </w:rPr>
        <w:t>137</w:t>
      </w:r>
    </w:p>
    <w:p w:rsidR="00BF727A" w:rsidRDefault="00BF727A" w:rsidP="00BF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BF727A" w:rsidRPr="003626CE" w:rsidRDefault="00BF727A" w:rsidP="00BF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7A" w:rsidRDefault="00BF727A" w:rsidP="00BF727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муниципальную  программу городского округа Верхотурский  «Развитие культуры в городском округе  Верхотурский до 2020 года», утвержденную постановлением Администрации городского округа Верхотурский от 11.11.2013г. № 998 «Об утверждении муниципальной  программы городского округа Верхотурский «Развитие культуры в городском округе Верхотурский до 2020 года»»</w:t>
      </w:r>
    </w:p>
    <w:p w:rsidR="00BF727A" w:rsidRDefault="00BF727A" w:rsidP="00BF727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727A" w:rsidRDefault="00BF727A" w:rsidP="00BF727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F727A" w:rsidRDefault="00BF727A" w:rsidP="00BF7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Верхотурский от 18.10.2013 № 907 «Об утверждении порядка формирования и реализации муниципальных программ городского округа Верхотурский», Решением  Думы городского </w:t>
      </w:r>
      <w:r w:rsidR="00453149">
        <w:rPr>
          <w:rFonts w:ascii="Times New Roman" w:hAnsi="Times New Roman"/>
          <w:sz w:val="28"/>
          <w:szCs w:val="28"/>
        </w:rPr>
        <w:t>округа Верхотурский  от 13 декабря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="00453149">
        <w:rPr>
          <w:rFonts w:ascii="Times New Roman" w:hAnsi="Times New Roman"/>
          <w:sz w:val="28"/>
          <w:szCs w:val="28"/>
        </w:rPr>
        <w:t>№ 72</w:t>
      </w:r>
      <w:r w:rsidRPr="00980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800FE">
        <w:rPr>
          <w:rFonts w:ascii="Times New Roman" w:hAnsi="Times New Roman"/>
          <w:sz w:val="28"/>
          <w:szCs w:val="28"/>
        </w:rPr>
        <w:t>О бюджете городс</w:t>
      </w:r>
      <w:r w:rsidR="00453149">
        <w:rPr>
          <w:rFonts w:ascii="Times New Roman" w:hAnsi="Times New Roman"/>
          <w:sz w:val="28"/>
          <w:szCs w:val="28"/>
        </w:rPr>
        <w:t>кого округа Верхотурский на 2018 год и плановый период 2019</w:t>
      </w:r>
      <w:proofErr w:type="gramEnd"/>
      <w:r w:rsidR="00453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3149">
        <w:rPr>
          <w:rFonts w:ascii="Times New Roman" w:hAnsi="Times New Roman"/>
          <w:sz w:val="28"/>
          <w:szCs w:val="28"/>
        </w:rPr>
        <w:t>и 2020</w:t>
      </w:r>
      <w:r>
        <w:rPr>
          <w:rFonts w:ascii="Times New Roman" w:hAnsi="Times New Roman"/>
          <w:sz w:val="28"/>
          <w:szCs w:val="28"/>
        </w:rPr>
        <w:t xml:space="preserve"> годов», что повлекло изменение объема расходов на выполнение мероприятий  муниципальной </w:t>
      </w:r>
      <w:hyperlink r:id="rId7" w:history="1">
        <w:r w:rsidRPr="009800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98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Верхотурский «Развитие культуры в городском округе Верхотурский до 2020 года», утвержденную постановлением Администрации городского округа Верхотурский от 11.11.2013г.  № 998 «Об утверждении муниципальной  программы городского округа Верхотурский «Развитие культуры в городском округе Верхотурский до 2020 года»»,  руководствуясь статьей 26 Устава городского округа Верхотурский,</w:t>
      </w:r>
      <w:proofErr w:type="gramEnd"/>
    </w:p>
    <w:p w:rsidR="00BF727A" w:rsidRDefault="00BF727A" w:rsidP="00BF7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727A" w:rsidRDefault="00BF727A" w:rsidP="00BF727A">
      <w:pPr>
        <w:pStyle w:val="a4"/>
        <w:numPr>
          <w:ilvl w:val="0"/>
          <w:numId w:val="1"/>
        </w:numPr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 программу городского округа Верхотурский  «Развитие культуры в городском округе  Верхотурский до 2020 года», утвержденную постановлением Администрации городского округа Верхотурский от 11.11.2013г. № 998 «Об утверждении муниципальной  программы городского округа Верхотурский «Развитие культуры в городском округе Верхотурский до 2020 года»» (далее – Программа), следующие изменения:</w:t>
      </w:r>
    </w:p>
    <w:p w:rsidR="00BF727A" w:rsidRDefault="00BF727A" w:rsidP="00BF727A">
      <w:pPr>
        <w:pStyle w:val="a4"/>
        <w:numPr>
          <w:ilvl w:val="0"/>
          <w:numId w:val="2"/>
        </w:numPr>
        <w:ind w:left="0" w:firstLine="49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графе 2 строки «Объемы финансирования муниципальной программы (подпрограмм) по годам реализации, тыс. рублей» Паспорта Программы </w:t>
      </w:r>
      <w:r w:rsidR="00453149">
        <w:rPr>
          <w:rFonts w:ascii="Times New Roman" w:hAnsi="Times New Roman"/>
          <w:sz w:val="28"/>
          <w:szCs w:val="28"/>
        </w:rPr>
        <w:t xml:space="preserve">число «357598,1» заменить на число «356013,1», </w:t>
      </w:r>
      <w:r>
        <w:rPr>
          <w:rFonts w:ascii="Times New Roman" w:hAnsi="Times New Roman"/>
          <w:sz w:val="28"/>
          <w:szCs w:val="28"/>
        </w:rPr>
        <w:t>число «52820,7» заменить на число «54713,6», число «52707,1»  заменить на число «57486,4», число «55804,8» заменить на число «58002,6»,</w:t>
      </w:r>
      <w:r w:rsidRPr="00BF7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 «55804,8» заменить на число «59214,0»;</w:t>
      </w:r>
      <w:proofErr w:type="gramEnd"/>
    </w:p>
    <w:p w:rsidR="00BF727A" w:rsidRDefault="00BF727A" w:rsidP="00BF727A">
      <w:pPr>
        <w:pStyle w:val="a4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цели, задачи и целевые показатели реализации муниципальной программы «Развитие культуры в городском округе Верхотурский до 2020 года»</w:t>
      </w:r>
      <w:r w:rsidR="00453149">
        <w:rPr>
          <w:rFonts w:ascii="Times New Roman" w:hAnsi="Times New Roman"/>
          <w:sz w:val="28"/>
          <w:szCs w:val="28"/>
        </w:rPr>
        <w:t xml:space="preserve"> </w:t>
      </w:r>
      <w:r w:rsidR="00D514F6">
        <w:rPr>
          <w:rFonts w:ascii="Times New Roman" w:hAnsi="Times New Roman"/>
          <w:sz w:val="28"/>
          <w:szCs w:val="28"/>
        </w:rPr>
        <w:t>(приложение № 1) изложить в новой редакции, в соответствии с приложением к настоящему постановлению;</w:t>
      </w:r>
    </w:p>
    <w:p w:rsidR="00BF727A" w:rsidRDefault="00BF727A" w:rsidP="00BF727A">
      <w:pPr>
        <w:pStyle w:val="a4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План мероприятий по выполнению Программы  (приложение № 2) изложить в новой редакции, в соответствии с приложением к настоящему постановлению.</w:t>
      </w:r>
    </w:p>
    <w:p w:rsidR="00BF727A" w:rsidRDefault="00BF727A" w:rsidP="00BF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BF727A" w:rsidRDefault="00BF727A" w:rsidP="00BF727A">
      <w:pPr>
        <w:tabs>
          <w:tab w:val="left" w:pos="567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BF727A" w:rsidRDefault="00BF727A" w:rsidP="00BF727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F727A" w:rsidRDefault="00BF727A" w:rsidP="00BF727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F727A" w:rsidRDefault="00BF727A" w:rsidP="00BF727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F727A" w:rsidRDefault="00BF727A" w:rsidP="00BF727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BF727A" w:rsidRDefault="00D514F6" w:rsidP="00BF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F727A" w:rsidRDefault="00BF727A" w:rsidP="00BF727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Верхотурский                 </w:t>
      </w:r>
      <w:r w:rsidR="00D514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1152">
        <w:rPr>
          <w:rFonts w:ascii="Times New Roman" w:hAnsi="Times New Roman" w:cs="Times New Roman"/>
          <w:sz w:val="28"/>
          <w:szCs w:val="28"/>
        </w:rPr>
        <w:t xml:space="preserve">       </w:t>
      </w:r>
      <w:r w:rsidR="00D514F6">
        <w:rPr>
          <w:rFonts w:ascii="Times New Roman" w:hAnsi="Times New Roman" w:cs="Times New Roman"/>
          <w:sz w:val="28"/>
          <w:szCs w:val="28"/>
        </w:rPr>
        <w:t>А.Г.</w:t>
      </w:r>
      <w:r w:rsidR="00801152">
        <w:rPr>
          <w:rFonts w:ascii="Times New Roman" w:hAnsi="Times New Roman" w:cs="Times New Roman"/>
          <w:sz w:val="28"/>
          <w:szCs w:val="28"/>
        </w:rPr>
        <w:t xml:space="preserve"> </w:t>
      </w:r>
      <w:r w:rsidR="00D514F6">
        <w:rPr>
          <w:rFonts w:ascii="Times New Roman" w:hAnsi="Times New Roman" w:cs="Times New Roman"/>
          <w:sz w:val="28"/>
          <w:szCs w:val="28"/>
        </w:rPr>
        <w:t>Лиханов</w:t>
      </w:r>
    </w:p>
    <w:p w:rsidR="00BF727A" w:rsidRDefault="00BF727A" w:rsidP="00BF727A"/>
    <w:p w:rsidR="00BF727A" w:rsidRDefault="00BF727A" w:rsidP="00BF727A"/>
    <w:p w:rsidR="00BF727A" w:rsidRDefault="00BF727A" w:rsidP="00BF727A"/>
    <w:p w:rsidR="00BF727A" w:rsidRDefault="00BF727A" w:rsidP="00BF727A"/>
    <w:p w:rsidR="00BF727A" w:rsidRDefault="00BF727A" w:rsidP="00BF727A"/>
    <w:p w:rsidR="00DB7629" w:rsidRDefault="00DB7629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/>
    <w:p w:rsidR="00801152" w:rsidRDefault="00801152">
      <w:pPr>
        <w:sectPr w:rsidR="00801152" w:rsidSect="00C111F9">
          <w:pgSz w:w="11906" w:h="16838"/>
          <w:pgMar w:top="567" w:right="567" w:bottom="426" w:left="1418" w:header="709" w:footer="709" w:gutter="0"/>
          <w:cols w:space="708"/>
          <w:docGrid w:linePitch="360"/>
        </w:sectPr>
      </w:pPr>
    </w:p>
    <w:p w:rsidR="00801152" w:rsidRPr="00FA06FE" w:rsidRDefault="00801152" w:rsidP="00801152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eastAsia="ru-RU"/>
        </w:rPr>
      </w:pPr>
      <w:r w:rsidRPr="00FA06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801152" w:rsidRPr="00FA06FE" w:rsidRDefault="00801152" w:rsidP="00801152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eastAsia="ru-RU"/>
        </w:rPr>
      </w:pP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Программе </w:t>
      </w:r>
    </w:p>
    <w:p w:rsidR="00801152" w:rsidRDefault="00801152" w:rsidP="00801152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eastAsia="ru-RU"/>
        </w:rPr>
      </w:pP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округе Верхотурский </w:t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 до 2020 года»</w:t>
      </w:r>
    </w:p>
    <w:p w:rsidR="00801152" w:rsidRPr="00FA06FE" w:rsidRDefault="00801152" w:rsidP="0080115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ред. от 05.03.2018 № 137)</w:t>
      </w:r>
    </w:p>
    <w:p w:rsidR="00801152" w:rsidRDefault="00801152" w:rsidP="008011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52" w:rsidRPr="00FA06FE" w:rsidRDefault="00801152" w:rsidP="00801152">
      <w:pPr>
        <w:tabs>
          <w:tab w:val="center" w:pos="7285"/>
          <w:tab w:val="left" w:pos="128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 целевые показатели реализации </w:t>
      </w:r>
      <w:r w:rsidRPr="00E34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1152" w:rsidRPr="00FA06FE" w:rsidRDefault="00801152" w:rsidP="0080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культуры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округе Верхотурский </w:t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 до 2020 года»</w:t>
      </w:r>
    </w:p>
    <w:p w:rsidR="00801152" w:rsidRPr="00FA06FE" w:rsidRDefault="00801152" w:rsidP="008011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3685"/>
        <w:gridCol w:w="1183"/>
        <w:gridCol w:w="235"/>
        <w:gridCol w:w="18"/>
        <w:gridCol w:w="20"/>
        <w:gridCol w:w="950"/>
        <w:gridCol w:w="50"/>
        <w:gridCol w:w="14"/>
        <w:gridCol w:w="101"/>
        <w:gridCol w:w="1152"/>
        <w:gridCol w:w="8"/>
        <w:gridCol w:w="14"/>
        <w:gridCol w:w="42"/>
        <w:gridCol w:w="1177"/>
        <w:gridCol w:w="37"/>
        <w:gridCol w:w="21"/>
        <w:gridCol w:w="20"/>
        <w:gridCol w:w="1197"/>
        <w:gridCol w:w="33"/>
        <w:gridCol w:w="14"/>
        <w:gridCol w:w="62"/>
        <w:gridCol w:w="1015"/>
        <w:gridCol w:w="43"/>
        <w:gridCol w:w="14"/>
        <w:gridCol w:w="93"/>
        <w:gridCol w:w="909"/>
        <w:gridCol w:w="6"/>
        <w:gridCol w:w="20"/>
        <w:gridCol w:w="336"/>
        <w:gridCol w:w="1130"/>
        <w:gridCol w:w="14"/>
        <w:gridCol w:w="20"/>
        <w:gridCol w:w="24"/>
        <w:gridCol w:w="234"/>
        <w:gridCol w:w="1276"/>
      </w:tblGrid>
      <w:tr w:rsidR="00801152" w:rsidRPr="00FA06FE" w:rsidTr="00E45EFE">
        <w:trPr>
          <w:trHeight w:val="63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left="-67" w:right="-98"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4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значений показателей</w:t>
            </w:r>
          </w:p>
        </w:tc>
      </w:tr>
      <w:tr w:rsidR="00801152" w:rsidRPr="00FA06FE" w:rsidTr="00E45EFE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1152" w:rsidRPr="00FA06FE" w:rsidTr="00E45EFE">
        <w:trPr>
          <w:trHeight w:val="4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«Развитие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2020 года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1152" w:rsidRPr="00FA06FE" w:rsidTr="00E45EFE">
        <w:trPr>
          <w:trHeight w:val="4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54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Создание для населения  городского округа Верхотурский равных условий доступа к культурным ценностям и услугам, возможности для творческой реализации; формирование единого социокультурного пространства городского округа Верхотурский</w:t>
            </w:r>
          </w:p>
        </w:tc>
      </w:tr>
      <w:tr w:rsidR="00801152" w:rsidRPr="00CE27AD" w:rsidTr="00E45EFE">
        <w:trPr>
          <w:trHeight w:val="40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 w:rsidR="00801152" w:rsidRPr="00FA06FE" w:rsidTr="00E45EFE">
        <w:trPr>
          <w:trHeight w:val="9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посещаемости</w:t>
            </w:r>
            <w:r w:rsidRPr="00B3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  <w:r w:rsidRPr="00B3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Верхотурский</w:t>
            </w:r>
            <w:r w:rsidRPr="00B3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сравнению с аналогичным периодом прошлого года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Посещаемость населением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киносеансов, проводимых организациями, осуществляющими кинопоказ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сравнению с предыдущим годом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фильмов российского производства в общем объеме проката на территории городского округа Верхотурский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8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left="-119" w:right="-1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численности участников культурно –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сравнению с предыдущим годом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10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left="-119" w:right="-1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посещающих культурн</w:t>
            </w:r>
            <w:proofErr w:type="gramStart"/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сельских населенных пунктов, охваченных культурн</w:t>
            </w:r>
            <w:proofErr w:type="gramStart"/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досуговыми услугами, от общего числа сельских населенных пунктов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62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62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40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F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4F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Формирование и развитие эффективной системы поддержки творчески одаренных детей и молодежи</w:t>
            </w:r>
          </w:p>
        </w:tc>
      </w:tr>
      <w:tr w:rsidR="00801152" w:rsidRPr="00FA06FE" w:rsidTr="00E45EFE">
        <w:trPr>
          <w:trHeight w:val="2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74C82" w:rsidRDefault="00801152" w:rsidP="00E45EF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</w:t>
            </w:r>
            <w:r w:rsidRPr="00074C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лауреатов международных, региональных, областных, городских и т.д. конкурсов и фестивалей в сфере культуры от общего количества участников творческих коллективов учреждений культуры</w:t>
            </w:r>
          </w:p>
          <w:p w:rsidR="00801152" w:rsidRPr="00940995" w:rsidRDefault="00801152" w:rsidP="00E45EF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074C82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74C8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62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творчески одаренных детей, участвующих в   оздоровительной кампании 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96703C" w:rsidTr="00E45EFE">
        <w:trPr>
          <w:trHeight w:val="4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условий для сохранения и развития кадрового и  творческого потенциала сферы культуры</w:t>
            </w: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  <w:p w:rsidR="00801152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3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дополнительного образования до 2020 года»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91460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1460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 w:rsidRPr="0091460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реализация человеческого потенциала  в условиях перехода к инновационному типу развития общества и экономики</w:t>
            </w:r>
          </w:p>
          <w:p w:rsidR="00801152" w:rsidRPr="0091460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выпускников учреждений дополнительного образования в сфере культуры и искусства</w:t>
            </w: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8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084FD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3. «Обеспечение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программы «Развитие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городском округе Верхотурский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2020 года»</w:t>
            </w:r>
          </w:p>
        </w:tc>
      </w:tr>
      <w:tr w:rsidR="00801152" w:rsidRPr="00FA06FE" w:rsidTr="00E45EFE">
        <w:trPr>
          <w:trHeight w:val="3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1460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91460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реализация человеческого потенциала  в условиях перехода к инновационному типу развития общества и экономики</w:t>
            </w:r>
          </w:p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96703C" w:rsidTr="00E45EFE">
        <w:trPr>
          <w:trHeight w:val="3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96703C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организационных, </w:t>
            </w:r>
            <w:proofErr w:type="gramStart"/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экономических и правовых механизмов</w:t>
            </w:r>
            <w:proofErr w:type="gramEnd"/>
            <w:r w:rsidRPr="0096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культуры</w:t>
            </w: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руководителей учреждений, в отношении которых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никами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условиях «эффективного контракта»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удовлетворенности населения качеством и доступностью оказываемых населению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услуг в сфере культуры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на культуру в общем объеме расходов в муниципальном образовании городской округ Верхотурский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5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культуру из внебюджетных источников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</w:t>
            </w:r>
            <w:proofErr w:type="spellEnd"/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1800,7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1985,3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2084,5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2084,5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качественных ресурсов в информационной сети «Интернет», получать информацию о культуре в городском округе Верхотурский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29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</w:pPr>
            <w:r w:rsidRPr="00940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Pr="00940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2020 года»</w:t>
            </w:r>
          </w:p>
        </w:tc>
      </w:tr>
      <w:tr w:rsidR="00801152" w:rsidRPr="00FA06FE" w:rsidTr="00E45EFE">
        <w:trPr>
          <w:trHeight w:val="29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2D12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Цель.</w:t>
            </w:r>
            <w:r w:rsidRPr="002D1248"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равного и разностороннего доступа к необходимым различным информационным ресурсам</w:t>
            </w:r>
          </w:p>
        </w:tc>
      </w:tr>
      <w:tr w:rsidR="00801152" w:rsidRPr="00FA06FE" w:rsidTr="00E45EFE">
        <w:trPr>
          <w:trHeight w:val="3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53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инновационной деятельности  муниципальных учреждений культуры</w:t>
            </w:r>
          </w:p>
        </w:tc>
      </w:tr>
      <w:tr w:rsidR="00801152" w:rsidRPr="00FA06FE" w:rsidTr="00E45EFE">
        <w:trPr>
          <w:trHeight w:val="68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посещений библиотек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E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CE27AD" w:rsidRDefault="00801152" w:rsidP="00E45EFE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новых поступлений в фонды муниципальных библиотек в расчете на 1000 человек жителей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8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процентов в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общем количестве этих библиотек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библиографических записей в сводном электронном каталоге библиотек (по сравнению с предыдущим годом)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электронных изданий в общем количестве поступлений в фонды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библиотечных фондов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библиотек, представленных в электронной форме, от общего объема библиотечных фондов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удовлетворенности населения качеством и доступностью оказываемых населению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услуг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библиотеках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6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2D1248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2D1248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248">
              <w:rPr>
                <w:rFonts w:ascii="Times New Roman" w:hAnsi="Times New Roman" w:cs="Times New Roman"/>
                <w:sz w:val="24"/>
                <w:szCs w:val="24"/>
              </w:rPr>
              <w:t>Подпрограмма 5. «Организация и координация туристической деятельности в городском округе Верхотурский»</w:t>
            </w:r>
          </w:p>
        </w:tc>
      </w:tr>
      <w:tr w:rsidR="00801152" w:rsidRPr="00FA06FE" w:rsidTr="00E45EFE">
        <w:trPr>
          <w:trHeight w:val="6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546548">
              <w:rPr>
                <w:sz w:val="24"/>
                <w:szCs w:val="24"/>
              </w:rPr>
              <w:t>. Позиционирование туризма в городском округе Верхотурский, создание конкурентоспособного туристического комплекса, способствующего привлечению и приему туристов, формирование эффективного туристического продукта</w:t>
            </w:r>
          </w:p>
        </w:tc>
      </w:tr>
      <w:tr w:rsidR="00801152" w:rsidRPr="00FA06FE" w:rsidTr="00E45EFE">
        <w:trPr>
          <w:trHeight w:val="58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Pr="00FA06FE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4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 благоприятных организационно-правовых и экономических условий для развития туризма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 туристских услуг и  продвижение туристского продукта</w:t>
            </w: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Посещаемость  населением городского округа Верхотурский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событийных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Посещаемость туристов  туристических объектов городского округа Верхотурский</w:t>
            </w:r>
          </w:p>
          <w:p w:rsidR="00801152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FA06FE" w:rsidTr="00E45EFE">
        <w:trPr>
          <w:trHeight w:val="3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/>
              <w:jc w:val="center"/>
              <w:rPr>
                <w:sz w:val="24"/>
                <w:szCs w:val="24"/>
              </w:rPr>
            </w:pPr>
            <w:r w:rsidRPr="00FE5A00">
              <w:rPr>
                <w:rFonts w:ascii="Times New Roman" w:hAnsi="Times New Roman" w:cs="Times New Roman"/>
                <w:sz w:val="24"/>
                <w:szCs w:val="24"/>
              </w:rPr>
              <w:t>Подпрограмма 6 .«Молодежь Верхотурья до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A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1152" w:rsidRPr="00FA06FE" w:rsidTr="00E45EFE">
        <w:trPr>
          <w:trHeight w:val="43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E5A00" w:rsidRDefault="00801152" w:rsidP="00E45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вовлечения молодёжи в социально-экономическое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развития и максимального использования демографического, социального, экономического и гражданского потенциала молодых жителей городского округа Верхотурский</w:t>
            </w: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1.С</w:t>
            </w:r>
            <w:r w:rsidRPr="002F1439">
              <w:rPr>
                <w:rFonts w:ascii="Times New Roman" w:hAnsi="Times New Roman"/>
                <w:sz w:val="24"/>
                <w:szCs w:val="24"/>
              </w:rPr>
              <w:t>оздание доступной и востребованной молодежью системы услуг, содействующих процессу с</w:t>
            </w:r>
            <w:r>
              <w:rPr>
                <w:rFonts w:ascii="Times New Roman" w:hAnsi="Times New Roman"/>
                <w:sz w:val="24"/>
                <w:szCs w:val="24"/>
              </w:rPr>
              <w:t>оциального становления молодежи</w:t>
            </w:r>
            <w:r w:rsidRPr="002F14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152" w:rsidRPr="002F1439" w:rsidRDefault="00801152" w:rsidP="00E4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F87F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здорового  образа  жизни  молодого  поколения, профилактика безнадзорности, подростковой преступности, наркомании и 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3.П</w:t>
            </w:r>
            <w:r w:rsidRPr="002F1439">
              <w:rPr>
                <w:rFonts w:ascii="Times New Roman" w:hAnsi="Times New Roman"/>
                <w:sz w:val="24"/>
                <w:szCs w:val="24"/>
              </w:rPr>
              <w:t>оддержка и реабилитация молодёжи и молодых семей, находящихся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152" w:rsidRPr="00F87F07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4. Патриотическое воспитание молодежи</w:t>
            </w: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 возрасте от 14 до 30 лет,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rPr>
                <w:rFonts w:ascii="Times New Roman" w:hAnsi="Times New Roman" w:cs="Times New Roman"/>
              </w:rPr>
            </w:pPr>
          </w:p>
        </w:tc>
      </w:tr>
      <w:tr w:rsidR="00801152" w:rsidRPr="00FA06FE" w:rsidTr="00E45EFE">
        <w:trPr>
          <w:trHeight w:val="21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 возрасте от 14 до 30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1152" w:rsidRDefault="00801152" w:rsidP="00E45EFE">
            <w:pPr>
              <w:rPr>
                <w:rFonts w:ascii="Times New Roman" w:hAnsi="Times New Roman" w:cs="Times New Roman"/>
              </w:rPr>
            </w:pP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молодёжи, находящейся в трудной жизненной ситуации, охваченной программами поддержки молодёжи, находящейся в трудной </w:t>
            </w:r>
            <w:r w:rsidRPr="0054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rPr>
                <w:rFonts w:ascii="Times New Roman" w:hAnsi="Times New Roman" w:cs="Times New Roman"/>
              </w:rPr>
            </w:pPr>
          </w:p>
        </w:tc>
      </w:tr>
      <w:tr w:rsidR="00801152" w:rsidRPr="00FA06FE" w:rsidTr="00E45EFE">
        <w:trPr>
          <w:trHeight w:val="4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52" w:rsidRPr="00614E43" w:rsidRDefault="00801152" w:rsidP="00E4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rPr>
                <w:rFonts w:ascii="Times New Roman" w:hAnsi="Times New Roman" w:cs="Times New Roman"/>
              </w:rPr>
            </w:pPr>
          </w:p>
        </w:tc>
      </w:tr>
      <w:tr w:rsidR="00801152" w:rsidRPr="00FA06FE" w:rsidTr="00E45EFE">
        <w:trPr>
          <w:trHeight w:val="2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06FE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дополнительных мерах по ограничению распространения ВИЧ-инфекции до 2020 года»</w:t>
            </w:r>
          </w:p>
        </w:tc>
      </w:tr>
      <w:tr w:rsidR="00801152" w:rsidRPr="00FA06FE" w:rsidTr="00E45EFE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1152" w:rsidRPr="00020C2D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E54DB4">
              <w:rPr>
                <w:rFonts w:ascii="Times New Roman" w:hAnsi="Times New Roman" w:cs="Times New Roman"/>
                <w:sz w:val="24"/>
                <w:szCs w:val="24"/>
              </w:rPr>
              <w:t>граничение распределения ВИЧ-инфекции в молодежной среде</w:t>
            </w:r>
          </w:p>
        </w:tc>
      </w:tr>
      <w:tr w:rsidR="00801152" w:rsidRPr="00FA06FE" w:rsidTr="00E45EFE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20C2D" w:rsidRDefault="00801152" w:rsidP="00E45E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0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E54DB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направленных на профилактику ВИЧ-инфекции среди молодежи городского округа Верхотурский</w:t>
            </w:r>
          </w:p>
        </w:tc>
      </w:tr>
      <w:tr w:rsidR="00801152" w:rsidRPr="00546548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Информированность населения по профилактике  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нфекции в городском округе Верхотурский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546548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Посещаемость населением городского округа Верхотурский мероприятий по профилактике ВИЧ, проводимых в учреждениях культуры</w:t>
            </w:r>
          </w:p>
          <w:p w:rsidR="00801152" w:rsidRPr="00546548" w:rsidRDefault="00801152" w:rsidP="00E45EF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52" w:rsidRPr="00546548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экстремизма и терроризма в городском округе Верхотурский до 2020 года»</w:t>
            </w:r>
          </w:p>
        </w:tc>
      </w:tr>
      <w:tr w:rsidR="00801152" w:rsidRPr="00020C2D" w:rsidTr="00E45EFE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20C2D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Цель.  Повышение готовности к противодействию проявлениям экстремизма и ликвидации, вызванных ими последствий</w:t>
            </w:r>
          </w:p>
        </w:tc>
      </w:tr>
      <w:tr w:rsidR="00801152" w:rsidRPr="00020C2D" w:rsidTr="00E45EFE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пределах своих полномочий в устранении причин и условий, способствующих совершению противоправных действий экстремистского характера;</w:t>
            </w:r>
          </w:p>
          <w:p w:rsidR="00801152" w:rsidRPr="00CE11AA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С</w:t>
            </w:r>
            <w:r w:rsidRPr="00CE1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одействие правоохранительным органам, осуществляющим противодействие экстремизму, в выявлении правонарушений и преступлений данной категории</w:t>
            </w:r>
          </w:p>
        </w:tc>
      </w:tr>
      <w:tr w:rsidR="00801152" w:rsidRPr="00546548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Укрепление материально-технической базы с целью защищённости учреждений культуры от экстремизма и терроризма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614E43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6A0E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152" w:rsidRPr="00546548" w:rsidTr="00E45EFE">
        <w:trPr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16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546548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0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правонарушений, наркомании и пьянства в городском округе Верхотурский до 2020 года»</w:t>
            </w:r>
          </w:p>
        </w:tc>
      </w:tr>
      <w:tr w:rsidR="00801152" w:rsidRPr="00020C2D" w:rsidTr="00E45EFE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020C2D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Цель.  Обеспечение безопасности граждан путем снижения уровня правонарушений, наркомании и алкоголизма в городском округе Верхотурский</w:t>
            </w:r>
          </w:p>
        </w:tc>
      </w:tr>
      <w:tr w:rsidR="00801152" w:rsidRPr="00CE11AA" w:rsidTr="00E45EFE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6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населения городского округа  и снижение уровня заболеваемости населения городского округа наркоманией и алкоголизмом;</w:t>
            </w:r>
          </w:p>
          <w:p w:rsidR="00801152" w:rsidRPr="00CE11AA" w:rsidRDefault="00801152" w:rsidP="00E45E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52" w:rsidRPr="00FA6A0E" w:rsidTr="00E45EFE">
        <w:trPr>
          <w:trHeight w:val="16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152" w:rsidRDefault="00801152" w:rsidP="00E4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Информированность населения по профилактике правонарушений, наркомании  и пьянства в городском округе Верхотурский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C335BB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152" w:rsidRPr="00FA6A0E" w:rsidRDefault="00801152" w:rsidP="00E45EFE">
            <w:pPr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1152" w:rsidRDefault="00801152" w:rsidP="00801152"/>
    <w:p w:rsidR="00801152" w:rsidRPr="00A209EB" w:rsidRDefault="00801152" w:rsidP="00801152">
      <w:pPr>
        <w:rPr>
          <w:sz w:val="24"/>
          <w:szCs w:val="24"/>
        </w:rPr>
      </w:pPr>
      <w:r>
        <w:rPr>
          <w:sz w:val="32"/>
          <w:szCs w:val="32"/>
        </w:rPr>
        <w:t xml:space="preserve">-* </w:t>
      </w:r>
      <w:r w:rsidRPr="00A209EB">
        <w:rPr>
          <w:sz w:val="32"/>
          <w:szCs w:val="32"/>
        </w:rPr>
        <w:t>-</w:t>
      </w:r>
      <w:r w:rsidRPr="00A209EB">
        <w:rPr>
          <w:sz w:val="24"/>
          <w:szCs w:val="24"/>
        </w:rPr>
        <w:t xml:space="preserve"> отсутствие </w:t>
      </w:r>
      <w:r>
        <w:rPr>
          <w:sz w:val="24"/>
          <w:szCs w:val="24"/>
        </w:rPr>
        <w:t>значений, в с</w:t>
      </w:r>
      <w:r w:rsidRPr="00A209EB">
        <w:rPr>
          <w:sz w:val="24"/>
          <w:szCs w:val="24"/>
        </w:rPr>
        <w:t>вязи с включением показателей в 2016году</w:t>
      </w:r>
    </w:p>
    <w:p w:rsidR="00801152" w:rsidRPr="00A209EB" w:rsidRDefault="00801152" w:rsidP="00801152">
      <w:pPr>
        <w:rPr>
          <w:sz w:val="24"/>
          <w:szCs w:val="24"/>
        </w:rPr>
      </w:pPr>
    </w:p>
    <w:p w:rsidR="00801152" w:rsidRDefault="00801152">
      <w:bookmarkStart w:id="0" w:name="_GoBack"/>
      <w:bookmarkEnd w:id="0"/>
    </w:p>
    <w:sectPr w:rsidR="00801152" w:rsidSect="008173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0112"/>
    <w:multiLevelType w:val="hybridMultilevel"/>
    <w:tmpl w:val="A39C0FE6"/>
    <w:lvl w:ilvl="0" w:tplc="7F46410A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5B6320A"/>
    <w:multiLevelType w:val="multilevel"/>
    <w:tmpl w:val="6C5228B8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7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25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E"/>
    <w:rsid w:val="000051A4"/>
    <w:rsid w:val="000068E6"/>
    <w:rsid w:val="0002513D"/>
    <w:rsid w:val="000328B1"/>
    <w:rsid w:val="000609C3"/>
    <w:rsid w:val="000668FE"/>
    <w:rsid w:val="0007499C"/>
    <w:rsid w:val="000B7B36"/>
    <w:rsid w:val="000D0BC6"/>
    <w:rsid w:val="000D1FFB"/>
    <w:rsid w:val="00106C85"/>
    <w:rsid w:val="00122AC9"/>
    <w:rsid w:val="00124636"/>
    <w:rsid w:val="00126515"/>
    <w:rsid w:val="0015541A"/>
    <w:rsid w:val="001C6EDE"/>
    <w:rsid w:val="001D057E"/>
    <w:rsid w:val="001F5CC8"/>
    <w:rsid w:val="00204CA9"/>
    <w:rsid w:val="00260965"/>
    <w:rsid w:val="002D5199"/>
    <w:rsid w:val="002D6BFF"/>
    <w:rsid w:val="002E1FCF"/>
    <w:rsid w:val="003165A9"/>
    <w:rsid w:val="0031734A"/>
    <w:rsid w:val="00320501"/>
    <w:rsid w:val="0033085B"/>
    <w:rsid w:val="00356C94"/>
    <w:rsid w:val="003938FD"/>
    <w:rsid w:val="003B5221"/>
    <w:rsid w:val="003C737B"/>
    <w:rsid w:val="00407B41"/>
    <w:rsid w:val="00407BF9"/>
    <w:rsid w:val="00453149"/>
    <w:rsid w:val="00455BC2"/>
    <w:rsid w:val="004A02BF"/>
    <w:rsid w:val="004C409B"/>
    <w:rsid w:val="004E38B4"/>
    <w:rsid w:val="004E6372"/>
    <w:rsid w:val="00503AF0"/>
    <w:rsid w:val="00587226"/>
    <w:rsid w:val="005A1FD5"/>
    <w:rsid w:val="005A7C00"/>
    <w:rsid w:val="005C632C"/>
    <w:rsid w:val="005D1C53"/>
    <w:rsid w:val="005E2D36"/>
    <w:rsid w:val="006061D5"/>
    <w:rsid w:val="00611CF7"/>
    <w:rsid w:val="00643278"/>
    <w:rsid w:val="006B3003"/>
    <w:rsid w:val="007119CC"/>
    <w:rsid w:val="007163D6"/>
    <w:rsid w:val="007270BC"/>
    <w:rsid w:val="00761548"/>
    <w:rsid w:val="007A5DEA"/>
    <w:rsid w:val="007E7F56"/>
    <w:rsid w:val="00801152"/>
    <w:rsid w:val="00822C7F"/>
    <w:rsid w:val="00840772"/>
    <w:rsid w:val="00884FAC"/>
    <w:rsid w:val="00896DF2"/>
    <w:rsid w:val="008971E9"/>
    <w:rsid w:val="008B2A80"/>
    <w:rsid w:val="008C23CD"/>
    <w:rsid w:val="008E3F0F"/>
    <w:rsid w:val="00900DA1"/>
    <w:rsid w:val="00930196"/>
    <w:rsid w:val="0098269E"/>
    <w:rsid w:val="009A053B"/>
    <w:rsid w:val="009E738F"/>
    <w:rsid w:val="009F1A64"/>
    <w:rsid w:val="00A14375"/>
    <w:rsid w:val="00A22528"/>
    <w:rsid w:val="00A738DC"/>
    <w:rsid w:val="00A74CC2"/>
    <w:rsid w:val="00AB3381"/>
    <w:rsid w:val="00AC4EDD"/>
    <w:rsid w:val="00AD2305"/>
    <w:rsid w:val="00AE48AC"/>
    <w:rsid w:val="00AE649B"/>
    <w:rsid w:val="00B03B83"/>
    <w:rsid w:val="00B16F52"/>
    <w:rsid w:val="00B17551"/>
    <w:rsid w:val="00B27568"/>
    <w:rsid w:val="00B34701"/>
    <w:rsid w:val="00B465FF"/>
    <w:rsid w:val="00B73296"/>
    <w:rsid w:val="00B76E8B"/>
    <w:rsid w:val="00B8321A"/>
    <w:rsid w:val="00B9563C"/>
    <w:rsid w:val="00BC5FC5"/>
    <w:rsid w:val="00BD283D"/>
    <w:rsid w:val="00BE259D"/>
    <w:rsid w:val="00BE5876"/>
    <w:rsid w:val="00BF727A"/>
    <w:rsid w:val="00C14164"/>
    <w:rsid w:val="00C524E8"/>
    <w:rsid w:val="00C71B1B"/>
    <w:rsid w:val="00C768C5"/>
    <w:rsid w:val="00CA34EF"/>
    <w:rsid w:val="00CA603B"/>
    <w:rsid w:val="00CC72E6"/>
    <w:rsid w:val="00D22220"/>
    <w:rsid w:val="00D238DC"/>
    <w:rsid w:val="00D514F6"/>
    <w:rsid w:val="00D7652B"/>
    <w:rsid w:val="00DB7629"/>
    <w:rsid w:val="00DD3F13"/>
    <w:rsid w:val="00E04F07"/>
    <w:rsid w:val="00E24690"/>
    <w:rsid w:val="00E5103A"/>
    <w:rsid w:val="00E51D4F"/>
    <w:rsid w:val="00E654B4"/>
    <w:rsid w:val="00EC42A0"/>
    <w:rsid w:val="00F27604"/>
    <w:rsid w:val="00F40440"/>
    <w:rsid w:val="00F409B7"/>
    <w:rsid w:val="00F5065D"/>
    <w:rsid w:val="00F72547"/>
    <w:rsid w:val="00F859F3"/>
    <w:rsid w:val="00FB5344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7A"/>
  </w:style>
  <w:style w:type="paragraph" w:styleId="1">
    <w:name w:val="heading 1"/>
    <w:basedOn w:val="a"/>
    <w:next w:val="a"/>
    <w:link w:val="10"/>
    <w:qFormat/>
    <w:rsid w:val="00BF7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72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7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27A"/>
    <w:rPr>
      <w:color w:val="0000FF"/>
      <w:u w:val="single"/>
    </w:rPr>
  </w:style>
  <w:style w:type="paragraph" w:styleId="a4">
    <w:name w:val="No Spacing"/>
    <w:uiPriority w:val="1"/>
    <w:qFormat/>
    <w:rsid w:val="00BF72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0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7A"/>
  </w:style>
  <w:style w:type="paragraph" w:styleId="1">
    <w:name w:val="heading 1"/>
    <w:basedOn w:val="a"/>
    <w:next w:val="a"/>
    <w:link w:val="10"/>
    <w:qFormat/>
    <w:rsid w:val="00BF7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72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7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27A"/>
    <w:rPr>
      <w:color w:val="0000FF"/>
      <w:u w:val="single"/>
    </w:rPr>
  </w:style>
  <w:style w:type="paragraph" w:styleId="a4">
    <w:name w:val="No Spacing"/>
    <w:uiPriority w:val="1"/>
    <w:qFormat/>
    <w:rsid w:val="00BF72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0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0C5E4DA7C8C1E49088FCF32E9E0F3C6E56BEDEA0060D9289936F41CB36C098F9D005EBF79FCEB9EB9E79TAJ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Ольга А. Тарамженина</cp:lastModifiedBy>
  <cp:revision>2</cp:revision>
  <cp:lastPrinted>2018-02-19T12:01:00Z</cp:lastPrinted>
  <dcterms:created xsi:type="dcterms:W3CDTF">2018-04-22T14:11:00Z</dcterms:created>
  <dcterms:modified xsi:type="dcterms:W3CDTF">2018-04-22T14:11:00Z</dcterms:modified>
</cp:coreProperties>
</file>