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B1" w:rsidRDefault="008062B1">
      <w:pPr>
        <w:pStyle w:val="ConsPlusTitle"/>
        <w:ind w:firstLine="540"/>
        <w:jc w:val="both"/>
        <w:outlineLvl w:val="0"/>
      </w:pPr>
      <w:r>
        <w:t xml:space="preserve">Статья 14. </w:t>
      </w:r>
      <w:bookmarkStart w:id="0" w:name="_GoBack"/>
      <w:r>
        <w:t xml:space="preserve">Порядок распределения разрешений на добычу охотничьих ресурсов </w:t>
      </w:r>
      <w:bookmarkEnd w:id="0"/>
      <w:r>
        <w:t>между физическими лицами, осуществляющими охоту в общедоступных охотничьих угодьях</w:t>
      </w:r>
    </w:p>
    <w:p w:rsidR="008062B1" w:rsidRDefault="008062B1">
      <w:pPr>
        <w:pStyle w:val="ConsPlusNormal"/>
        <w:ind w:firstLine="540"/>
        <w:jc w:val="both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Нижегородской области от 26.02.2016 N 23-З)</w:t>
      </w:r>
    </w:p>
    <w:p w:rsidR="008062B1" w:rsidRDefault="008062B1">
      <w:pPr>
        <w:pStyle w:val="ConsPlusNormal"/>
        <w:ind w:firstLine="540"/>
        <w:jc w:val="both"/>
      </w:pPr>
    </w:p>
    <w:p w:rsidR="008062B1" w:rsidRDefault="008062B1">
      <w:pPr>
        <w:pStyle w:val="ConsPlusNormal"/>
        <w:ind w:firstLine="540"/>
        <w:jc w:val="both"/>
      </w:pPr>
      <w:bookmarkStart w:id="1" w:name="P3"/>
      <w:bookmarkEnd w:id="1"/>
      <w:r>
        <w:t>1. Распределение между охотниками разрешений на добычу охотничьих ресурсов в общедоступных охотничьих угодьях, за исключением копытных животных и медведя, осуществляется в порядке очередности, установленной исходя из даты и времени подачи или поступления заявления на выдачу разрешения в уполномоченный орган, в пределах квот добычи охотничьих ресурсов, норм допустимой добычи охотничьих ресурсов, норм пропускной способности охотничьих угодий.</w:t>
      </w:r>
    </w:p>
    <w:p w:rsidR="008062B1" w:rsidRDefault="008062B1">
      <w:pPr>
        <w:pStyle w:val="ConsPlusNormal"/>
        <w:spacing w:before="220"/>
        <w:ind w:firstLine="540"/>
        <w:jc w:val="both"/>
      </w:pPr>
      <w:bookmarkStart w:id="2" w:name="P4"/>
      <w:bookmarkEnd w:id="2"/>
      <w:r>
        <w:t>2. Разрешения на добычу копытных животных и медведя в общедоступных охотничьих угодьях распределяются между охотниками в пределах квот и норм допустимой добычи охотничьих ресурсов в следующем соотношении (порядке):</w:t>
      </w:r>
    </w:p>
    <w:p w:rsidR="008062B1" w:rsidRDefault="008062B1">
      <w:pPr>
        <w:pStyle w:val="ConsPlusNormal"/>
        <w:spacing w:before="220"/>
        <w:ind w:firstLine="540"/>
        <w:jc w:val="both"/>
      </w:pPr>
      <w:bookmarkStart w:id="3" w:name="P5"/>
      <w:bookmarkEnd w:id="3"/>
      <w:r>
        <w:t>1) 70 процентов разрешений распределяется между охотниками:</w:t>
      </w:r>
    </w:p>
    <w:p w:rsidR="008062B1" w:rsidRDefault="008062B1">
      <w:pPr>
        <w:pStyle w:val="ConsPlusNormal"/>
        <w:spacing w:before="220"/>
        <w:ind w:firstLine="540"/>
        <w:jc w:val="both"/>
      </w:pPr>
      <w:r>
        <w:t>а) осуществлявшими в период с 1 июля предыдущего года до 30 июня текущего года добычу волков на территории общедоступных охотничьих угодий;</w:t>
      </w:r>
    </w:p>
    <w:p w:rsidR="008062B1" w:rsidRDefault="008062B1">
      <w:pPr>
        <w:pStyle w:val="ConsPlusNormal"/>
        <w:spacing w:before="220"/>
        <w:ind w:firstLine="540"/>
        <w:jc w:val="both"/>
      </w:pPr>
      <w:r>
        <w:t>б) добровольно участвовавшими в проведении в период с 1 июля предыдущего года до 30 июня текущего года биотехнических мероприятий на территории общедоступных охотничьих угодий;</w:t>
      </w:r>
    </w:p>
    <w:p w:rsidR="008062B1" w:rsidRDefault="008062B1">
      <w:pPr>
        <w:pStyle w:val="ConsPlusNormal"/>
        <w:spacing w:before="220"/>
        <w:ind w:firstLine="540"/>
        <w:jc w:val="both"/>
      </w:pPr>
      <w:r>
        <w:t>в) добровольно участвовавшими в текущем году в проведении учетов численности охотничьих ресурсов на территории общедоступных охотничьих угодий;</w:t>
      </w:r>
    </w:p>
    <w:p w:rsidR="008062B1" w:rsidRDefault="008062B1">
      <w:pPr>
        <w:pStyle w:val="ConsPlusNormal"/>
        <w:spacing w:before="220"/>
        <w:ind w:firstLine="540"/>
        <w:jc w:val="both"/>
      </w:pPr>
      <w:bookmarkStart w:id="4" w:name="P9"/>
      <w:bookmarkEnd w:id="4"/>
      <w:r>
        <w:t>2) 30 процентов разрешений распределяется между иными охотниками.</w:t>
      </w:r>
    </w:p>
    <w:p w:rsidR="008062B1" w:rsidRDefault="008062B1">
      <w:pPr>
        <w:pStyle w:val="ConsPlusNormal"/>
        <w:spacing w:before="220"/>
        <w:ind w:firstLine="540"/>
        <w:jc w:val="both"/>
      </w:pPr>
      <w:r>
        <w:t xml:space="preserve">Если полученное при распределении в соответствии с </w:t>
      </w:r>
      <w:hyperlink w:anchor="P5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9" w:history="1">
        <w:r>
          <w:rPr>
            <w:color w:val="0000FF"/>
          </w:rPr>
          <w:t>2</w:t>
        </w:r>
      </w:hyperlink>
      <w:r>
        <w:t xml:space="preserve"> настоящей части количество разрешений выражается дробным числом, в котором первый знак после запятой больше или равен 5, то целая часть числа увеличивается на единицу.</w:t>
      </w:r>
    </w:p>
    <w:p w:rsidR="008062B1" w:rsidRDefault="008062B1">
      <w:pPr>
        <w:pStyle w:val="ConsPlusNormal"/>
        <w:spacing w:before="220"/>
        <w:ind w:firstLine="540"/>
        <w:jc w:val="both"/>
      </w:pPr>
      <w:r>
        <w:t xml:space="preserve">3. </w:t>
      </w:r>
      <w:hyperlink r:id="rId6" w:history="1">
        <w:r>
          <w:rPr>
            <w:color w:val="0000FF"/>
          </w:rPr>
          <w:t>Порядок</w:t>
        </w:r>
      </w:hyperlink>
      <w:r>
        <w:t xml:space="preserve"> привлечения охотников к проведению биотехнических мероприятий, учету численности охотничьих ресурсов, добыче волка в общедоступных охотничьих угодьях, а также учета и оценки результатов их участия определяется нормативным правовым актом уполномоченного органа.</w:t>
      </w:r>
    </w:p>
    <w:p w:rsidR="008062B1" w:rsidRDefault="008062B1">
      <w:pPr>
        <w:pStyle w:val="ConsPlusNormal"/>
        <w:spacing w:before="220"/>
        <w:ind w:firstLine="540"/>
        <w:jc w:val="both"/>
      </w:pPr>
      <w:r>
        <w:t>4. Для приобретения права на получение разрешения на добычу копытных животных и медведя в общедоступных охотничьих угодьях охотники обращаются в уполномоченный орган с заявлением, в котором указываются:</w:t>
      </w:r>
    </w:p>
    <w:p w:rsidR="008062B1" w:rsidRDefault="008062B1">
      <w:pPr>
        <w:pStyle w:val="ConsPlusNormal"/>
        <w:spacing w:before="220"/>
        <w:ind w:firstLine="540"/>
        <w:jc w:val="both"/>
      </w:pPr>
      <w:r>
        <w:t>1) фамилия, имя, отчество охотника, его адрес места жительства, контактный телефон и (при наличии) адрес электронной почты (e-</w:t>
      </w:r>
      <w:proofErr w:type="spellStart"/>
      <w:r>
        <w:t>mail</w:t>
      </w:r>
      <w:proofErr w:type="spellEnd"/>
      <w:r>
        <w:t>);</w:t>
      </w:r>
    </w:p>
    <w:p w:rsidR="008062B1" w:rsidRDefault="008062B1">
      <w:pPr>
        <w:pStyle w:val="ConsPlusNormal"/>
        <w:spacing w:before="220"/>
        <w:ind w:firstLine="540"/>
        <w:jc w:val="both"/>
      </w:pPr>
      <w:r>
        <w:t>2) номер и дата выдачи охотничьего билета единого федерального образца;</w:t>
      </w:r>
    </w:p>
    <w:p w:rsidR="008062B1" w:rsidRDefault="008062B1">
      <w:pPr>
        <w:pStyle w:val="ConsPlusNormal"/>
        <w:spacing w:before="220"/>
        <w:ind w:firstLine="540"/>
        <w:jc w:val="both"/>
      </w:pPr>
      <w:r>
        <w:t>3) наименование муниципального района, городского округа, на территории которого охотник хочет приобрести право на получение разрешения на добычу охотничьих ресурсов в общедоступных охотничьих угодьях;</w:t>
      </w:r>
    </w:p>
    <w:p w:rsidR="008062B1" w:rsidRDefault="008062B1">
      <w:pPr>
        <w:pStyle w:val="ConsPlusNormal"/>
        <w:spacing w:before="220"/>
        <w:ind w:firstLine="540"/>
        <w:jc w:val="both"/>
      </w:pPr>
      <w:r>
        <w:t>4) вид охотничьих ресурсов.</w:t>
      </w:r>
    </w:p>
    <w:p w:rsidR="008062B1" w:rsidRDefault="008062B1">
      <w:pPr>
        <w:pStyle w:val="ConsPlusNormal"/>
        <w:spacing w:before="220"/>
        <w:ind w:firstLine="540"/>
        <w:jc w:val="both"/>
      </w:pPr>
      <w:r>
        <w:t xml:space="preserve">В целях реализации права на получение разрешения на добычу копытных животных и медведя в соответствии с </w:t>
      </w:r>
      <w:hyperlink w:anchor="P5" w:history="1">
        <w:r>
          <w:rPr>
            <w:color w:val="0000FF"/>
          </w:rPr>
          <w:t>пунктом 1 части 2</w:t>
        </w:r>
      </w:hyperlink>
      <w:r>
        <w:t xml:space="preserve"> настоящей статьи к заявлению прилагается акт о выполнении заявителем работ.</w:t>
      </w:r>
    </w:p>
    <w:p w:rsidR="008062B1" w:rsidRDefault="008062B1">
      <w:pPr>
        <w:pStyle w:val="ConsPlusNormal"/>
        <w:spacing w:before="220"/>
        <w:ind w:firstLine="540"/>
        <w:jc w:val="both"/>
      </w:pPr>
      <w:r>
        <w:t xml:space="preserve">5. Заявления на получение разрешения на добычу охотничьих ресурсов, указанных в </w:t>
      </w:r>
      <w:hyperlink w:anchor="P3" w:history="1">
        <w:r>
          <w:rPr>
            <w:color w:val="0000FF"/>
          </w:rPr>
          <w:t>части 1</w:t>
        </w:r>
      </w:hyperlink>
      <w:r>
        <w:t xml:space="preserve"> </w:t>
      </w:r>
      <w:r>
        <w:lastRenderedPageBreak/>
        <w:t>настоящей статьи, подаются охотниками в срок не ранее чем за 12 дней до начала соответствующего периода охоты (весеннего или летне-осеннего) и регистрируются уполномоченным органом.</w:t>
      </w:r>
    </w:p>
    <w:p w:rsidR="008062B1" w:rsidRDefault="008062B1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Нижегородской области от 30.08.2016 N 115-З)</w:t>
      </w:r>
    </w:p>
    <w:p w:rsidR="008062B1" w:rsidRDefault="008062B1">
      <w:pPr>
        <w:pStyle w:val="ConsPlusNormal"/>
        <w:spacing w:before="220"/>
        <w:ind w:firstLine="540"/>
        <w:jc w:val="both"/>
      </w:pPr>
      <w:r>
        <w:t xml:space="preserve">6. Заявления на приобретение права на получение разрешения на добычу охотничьих ресурсов, указанных в </w:t>
      </w:r>
      <w:hyperlink w:anchor="P4" w:history="1">
        <w:r>
          <w:rPr>
            <w:color w:val="0000FF"/>
          </w:rPr>
          <w:t>части 2</w:t>
        </w:r>
      </w:hyperlink>
      <w:r>
        <w:t xml:space="preserve"> настоящей статьи, подаются охотниками в срок с 1 мая по 30 июня текущего года и регистрируются уполномоченным органом.</w:t>
      </w:r>
    </w:p>
    <w:p w:rsidR="008062B1" w:rsidRDefault="008062B1">
      <w:pPr>
        <w:pStyle w:val="ConsPlusNormal"/>
        <w:spacing w:before="220"/>
        <w:ind w:firstLine="540"/>
        <w:jc w:val="both"/>
      </w:pPr>
      <w:r>
        <w:t xml:space="preserve">Охотниками, указанными в </w:t>
      </w:r>
      <w:hyperlink w:anchor="P5" w:history="1">
        <w:r>
          <w:rPr>
            <w:color w:val="0000FF"/>
          </w:rPr>
          <w:t>пункте 1 части 2</w:t>
        </w:r>
      </w:hyperlink>
      <w:r>
        <w:t xml:space="preserve"> настоящей статьи, заявления на приобретение права на получение разрешения на добычу копытных животных и медведя подаются в общедоступные охотничьи угодья муниципального района, городского округа, на территории которого ими осуществлялись работы, указанные в пункте 1 части 2 настоящей статьи.</w:t>
      </w:r>
    </w:p>
    <w:p w:rsidR="008062B1" w:rsidRDefault="008062B1">
      <w:pPr>
        <w:pStyle w:val="ConsPlusNormal"/>
        <w:spacing w:before="220"/>
        <w:ind w:firstLine="540"/>
        <w:jc w:val="both"/>
      </w:pPr>
      <w:r>
        <w:t xml:space="preserve">7. Охотники, указанные в </w:t>
      </w:r>
      <w:hyperlink w:anchor="P5" w:history="1">
        <w:r>
          <w:rPr>
            <w:color w:val="0000FF"/>
          </w:rPr>
          <w:t>пункте 1 части 2</w:t>
        </w:r>
      </w:hyperlink>
      <w:r>
        <w:t xml:space="preserve"> настоящей статьи, вправе подать одно заявление на приобретение права на получение разрешения на добычу не более одной особи одного вида охотничьих ресурсов, указанных в </w:t>
      </w:r>
      <w:hyperlink w:anchor="P4" w:history="1">
        <w:r>
          <w:rPr>
            <w:color w:val="0000FF"/>
          </w:rPr>
          <w:t>части 2</w:t>
        </w:r>
      </w:hyperlink>
      <w:r>
        <w:t xml:space="preserve"> настоящей статьи, на территории одного общедоступного охотничьего угодья с приложением акта о выполнении работ.</w:t>
      </w:r>
    </w:p>
    <w:p w:rsidR="008062B1" w:rsidRDefault="008062B1">
      <w:pPr>
        <w:pStyle w:val="ConsPlusNormal"/>
        <w:spacing w:before="220"/>
        <w:ind w:firstLine="540"/>
        <w:jc w:val="both"/>
      </w:pPr>
      <w:r>
        <w:t xml:space="preserve">Охотники, указанные в </w:t>
      </w:r>
      <w:hyperlink w:anchor="P4" w:history="1">
        <w:r>
          <w:rPr>
            <w:color w:val="0000FF"/>
          </w:rPr>
          <w:t>части 2</w:t>
        </w:r>
      </w:hyperlink>
      <w:r>
        <w:t xml:space="preserve"> настоящей статьи, вправе подать одно заявление на приобретение права на получение разрешения на добычу не более одной особи каждого вида охотничьих ресурсов, указанных в части 2 настоящей статьи, на территории одного общедоступного охотничьего угодья.</w:t>
      </w:r>
    </w:p>
    <w:p w:rsidR="008062B1" w:rsidRDefault="008062B1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Нижегородской области от 30.08.2016 N 115-З)</w:t>
      </w:r>
    </w:p>
    <w:p w:rsidR="008062B1" w:rsidRDefault="008062B1">
      <w:pPr>
        <w:pStyle w:val="ConsPlusNormal"/>
        <w:spacing w:before="220"/>
        <w:ind w:firstLine="540"/>
        <w:jc w:val="both"/>
      </w:pPr>
      <w:r>
        <w:t xml:space="preserve">8. Уполномоченный орган принимает решение об отказе в приеме заявлений на приобретение права на получение разрешения на добычу охотничьих ресурсов, указанных в </w:t>
      </w:r>
      <w:hyperlink w:anchor="P4" w:history="1">
        <w:r>
          <w:rPr>
            <w:color w:val="0000FF"/>
          </w:rPr>
          <w:t>части 2</w:t>
        </w:r>
      </w:hyperlink>
      <w:r>
        <w:t xml:space="preserve"> настоящей статьи, в случае несоблюдения порядка и сроков подачи заявления, установленных в настоящей статье, либо представления недостоверных сведений.</w:t>
      </w:r>
    </w:p>
    <w:p w:rsidR="008062B1" w:rsidRDefault="008062B1">
      <w:pPr>
        <w:pStyle w:val="ConsPlusNormal"/>
        <w:spacing w:before="220"/>
        <w:ind w:firstLine="540"/>
        <w:jc w:val="both"/>
      </w:pPr>
      <w:r>
        <w:t>9. В случае, если количество поданных заявлений больше утвержденных квот и норм добычи копытных животных и медведя, право на получение разрешения распределяется между охотниками, подавшими заявления, посредством случайной выборки (жеребьевки).</w:t>
      </w:r>
    </w:p>
    <w:p w:rsidR="008062B1" w:rsidRDefault="008062B1">
      <w:pPr>
        <w:pStyle w:val="ConsPlusNormal"/>
        <w:spacing w:before="220"/>
        <w:ind w:firstLine="540"/>
        <w:jc w:val="both"/>
      </w:pPr>
      <w:r>
        <w:t>10. Жеребьевка проводится комиссией, создаваемой уполномоченным органом. В состав комиссии включаются представители общественности.</w:t>
      </w:r>
    </w:p>
    <w:p w:rsidR="008062B1" w:rsidRDefault="008062B1">
      <w:pPr>
        <w:pStyle w:val="ConsPlusNormal"/>
        <w:spacing w:before="220"/>
        <w:ind w:firstLine="540"/>
        <w:jc w:val="both"/>
      </w:pPr>
      <w:r>
        <w:t>11. Уполномоченный орган размещает на своем официальном сайте в информационно-телекоммуникационной сети "Интернет" информацию о месте и времени проведения жеребьевки.</w:t>
      </w:r>
    </w:p>
    <w:p w:rsidR="008062B1" w:rsidRDefault="008062B1">
      <w:pPr>
        <w:pStyle w:val="ConsPlusNormal"/>
        <w:spacing w:before="220"/>
        <w:ind w:firstLine="540"/>
        <w:jc w:val="both"/>
      </w:pPr>
      <w:bookmarkStart w:id="5" w:name="P29"/>
      <w:bookmarkEnd w:id="5"/>
      <w:r>
        <w:t xml:space="preserve">12. Уполномоченный орган составляет списки претендентов на приобретение права на получение разрешения на добычу охотничьих ресурсов, указанных в </w:t>
      </w:r>
      <w:hyperlink w:anchor="P4" w:history="1">
        <w:r>
          <w:rPr>
            <w:color w:val="0000FF"/>
          </w:rPr>
          <w:t>части 2</w:t>
        </w:r>
      </w:hyperlink>
      <w:r>
        <w:t xml:space="preserve"> настоящей статьи, в отношении:</w:t>
      </w:r>
    </w:p>
    <w:p w:rsidR="008062B1" w:rsidRDefault="008062B1">
      <w:pPr>
        <w:pStyle w:val="ConsPlusNormal"/>
        <w:spacing w:before="220"/>
        <w:ind w:firstLine="540"/>
        <w:jc w:val="both"/>
      </w:pPr>
      <w:bookmarkStart w:id="6" w:name="P30"/>
      <w:bookmarkEnd w:id="6"/>
      <w:r>
        <w:t xml:space="preserve">1) охотников, представивших вместе с заявлением на приобретение права на получение разрешения на добычу охотничьих ресурсов акт о выполнении работ, указанных в </w:t>
      </w:r>
      <w:hyperlink w:anchor="P5" w:history="1">
        <w:r>
          <w:rPr>
            <w:color w:val="0000FF"/>
          </w:rPr>
          <w:t>пункте 1 части 2</w:t>
        </w:r>
      </w:hyperlink>
      <w:r>
        <w:t xml:space="preserve"> настоящей статьи;</w:t>
      </w:r>
    </w:p>
    <w:p w:rsidR="008062B1" w:rsidRDefault="008062B1">
      <w:pPr>
        <w:pStyle w:val="ConsPlusNormal"/>
        <w:spacing w:before="220"/>
        <w:ind w:firstLine="540"/>
        <w:jc w:val="both"/>
      </w:pPr>
      <w:bookmarkStart w:id="7" w:name="P31"/>
      <w:bookmarkEnd w:id="7"/>
      <w:r>
        <w:t>2) охотников, представивших только заявление на приобретение права на получение разрешения на добычу охотничьих ресурсов.</w:t>
      </w:r>
    </w:p>
    <w:p w:rsidR="008062B1" w:rsidRDefault="008062B1">
      <w:pPr>
        <w:pStyle w:val="ConsPlusNormal"/>
        <w:spacing w:before="220"/>
        <w:ind w:firstLine="540"/>
        <w:jc w:val="both"/>
      </w:pPr>
      <w:r>
        <w:t xml:space="preserve">13. Жеребьевка проводится отдельно в отношении охотников, указанных в </w:t>
      </w:r>
      <w:hyperlink w:anchor="P30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31" w:history="1">
        <w:r>
          <w:rPr>
            <w:color w:val="0000FF"/>
          </w:rPr>
          <w:t>2 части 12</w:t>
        </w:r>
      </w:hyperlink>
      <w:r>
        <w:t xml:space="preserve"> настоящей статьи.</w:t>
      </w:r>
    </w:p>
    <w:p w:rsidR="008062B1" w:rsidRDefault="008062B1">
      <w:pPr>
        <w:pStyle w:val="ConsPlusNormal"/>
        <w:spacing w:before="220"/>
        <w:ind w:firstLine="540"/>
        <w:jc w:val="both"/>
      </w:pPr>
      <w:r>
        <w:t xml:space="preserve">14. Жеребьевка проводится методом случайной выборки номеров с применением лототрона, в который помещаются конверты (контейнеры) с номерами. Жеребьевка проводится публично, при ее проведении могут присутствовать охотники, их представители, представители </w:t>
      </w:r>
      <w:r>
        <w:lastRenderedPageBreak/>
        <w:t>средств массовой информации.</w:t>
      </w:r>
    </w:p>
    <w:p w:rsidR="008062B1" w:rsidRDefault="008062B1">
      <w:pPr>
        <w:pStyle w:val="ConsPlusNormal"/>
        <w:spacing w:before="220"/>
        <w:ind w:firstLine="540"/>
        <w:jc w:val="both"/>
      </w:pPr>
      <w:r>
        <w:t>15. По результатам проведения жеребьевки составляется протокол, который подписывается членами комиссии. В протоколе указываются:</w:t>
      </w:r>
    </w:p>
    <w:p w:rsidR="008062B1" w:rsidRDefault="008062B1">
      <w:pPr>
        <w:pStyle w:val="ConsPlusNormal"/>
        <w:spacing w:before="220"/>
        <w:ind w:firstLine="540"/>
        <w:jc w:val="both"/>
      </w:pPr>
      <w:bookmarkStart w:id="8" w:name="P35"/>
      <w:bookmarkEnd w:id="8"/>
      <w:r>
        <w:t>1) охотники, которые приобрели право на получение разрешения на добычу заявленных охотничьих ресурсов в общедоступных охотничьих угодьях;</w:t>
      </w:r>
    </w:p>
    <w:p w:rsidR="008062B1" w:rsidRDefault="008062B1">
      <w:pPr>
        <w:pStyle w:val="ConsPlusNormal"/>
        <w:spacing w:before="220"/>
        <w:ind w:firstLine="540"/>
        <w:jc w:val="both"/>
      </w:pPr>
      <w:bookmarkStart w:id="9" w:name="P36"/>
      <w:bookmarkEnd w:id="9"/>
      <w:r>
        <w:t xml:space="preserve">2) охотники, которые могут приобрести право на получение разрешения на добычу заявленных охотничьих ресурсов в общедоступных охотничьих угодьях в случае </w:t>
      </w:r>
      <w:proofErr w:type="spellStart"/>
      <w:r>
        <w:t>нереализации</w:t>
      </w:r>
      <w:proofErr w:type="spellEnd"/>
      <w:r>
        <w:t xml:space="preserve"> права на получение разрешения на добычу охотничьих ресурсов охотниками, указанными в </w:t>
      </w:r>
      <w:hyperlink w:anchor="P35" w:history="1">
        <w:r>
          <w:rPr>
            <w:color w:val="0000FF"/>
          </w:rPr>
          <w:t>пункте 1</w:t>
        </w:r>
      </w:hyperlink>
      <w:r>
        <w:t xml:space="preserve"> настоящей части, или в случае увеличения квот добычи охотничьих ресурсов.</w:t>
      </w:r>
    </w:p>
    <w:p w:rsidR="008062B1" w:rsidRDefault="008062B1">
      <w:pPr>
        <w:pStyle w:val="ConsPlusNormal"/>
        <w:spacing w:before="220"/>
        <w:ind w:firstLine="540"/>
        <w:jc w:val="both"/>
      </w:pPr>
      <w:r>
        <w:t xml:space="preserve">16. Уполномоченный орган в течение пяти дней со дня проведения жеребьевки размещает информацию о результатах жеребьевки на своем официальном сайте в информационно-телекоммуникационной сети "Интернет", уведомляет охотников, указанных в </w:t>
      </w:r>
      <w:hyperlink w:anchor="P29" w:history="1">
        <w:r>
          <w:rPr>
            <w:color w:val="0000FF"/>
          </w:rPr>
          <w:t>части 12</w:t>
        </w:r>
      </w:hyperlink>
      <w:r>
        <w:t xml:space="preserve"> настоящей статьи, о возникновении у них права на получение разрешения на добычу охотничьих ресурсов.</w:t>
      </w:r>
    </w:p>
    <w:p w:rsidR="008062B1" w:rsidRDefault="008062B1">
      <w:pPr>
        <w:pStyle w:val="ConsPlusNormal"/>
        <w:spacing w:before="220"/>
        <w:ind w:firstLine="540"/>
        <w:jc w:val="both"/>
      </w:pPr>
      <w:bookmarkStart w:id="10" w:name="P38"/>
      <w:bookmarkEnd w:id="10"/>
      <w:r>
        <w:t>17. Приобретенное право на получение разрешения на добычу охотничьих ресурсов может быть реализовано охотником путем обращения в уполномоченный орган в течение 15 дней со дня получения уведомления.</w:t>
      </w:r>
    </w:p>
    <w:p w:rsidR="008062B1" w:rsidRDefault="008062B1">
      <w:pPr>
        <w:pStyle w:val="ConsPlusNormal"/>
        <w:spacing w:before="220"/>
        <w:ind w:firstLine="540"/>
        <w:jc w:val="both"/>
      </w:pPr>
      <w:r>
        <w:t xml:space="preserve">18. В случае </w:t>
      </w:r>
      <w:proofErr w:type="spellStart"/>
      <w:r>
        <w:t>нереализации</w:t>
      </w:r>
      <w:proofErr w:type="spellEnd"/>
      <w:r>
        <w:t xml:space="preserve"> охотником права на получение разрешения на добычу охотничьих ресурсов уполномоченный орган в течение пяти дней со дня истечения срока, указанного в </w:t>
      </w:r>
      <w:hyperlink w:anchor="P38" w:history="1">
        <w:r>
          <w:rPr>
            <w:color w:val="0000FF"/>
          </w:rPr>
          <w:t>части 17</w:t>
        </w:r>
      </w:hyperlink>
      <w:r>
        <w:t xml:space="preserve"> настоящей статьи, уведомляет охотников, указанных в </w:t>
      </w:r>
      <w:hyperlink w:anchor="P36" w:history="1">
        <w:r>
          <w:rPr>
            <w:color w:val="0000FF"/>
          </w:rPr>
          <w:t>пункте 2 части 15</w:t>
        </w:r>
      </w:hyperlink>
      <w:r>
        <w:t xml:space="preserve"> настоящей статьи, в порядке очередности, установленной при проведении жеребьевки, о возникновении у них права на получение разрешения на добычу охотничьих ресурсов.</w:t>
      </w:r>
    </w:p>
    <w:p w:rsidR="008062B1" w:rsidRDefault="008062B1">
      <w:pPr>
        <w:pStyle w:val="ConsPlusNormal"/>
        <w:spacing w:before="220"/>
        <w:ind w:firstLine="540"/>
        <w:jc w:val="both"/>
      </w:pPr>
      <w:r>
        <w:t>19. В случае, если количество заявлений охотников не превышает квоту добычи лося, косули и медведя или норму допустимой добычи кабана в общедоступных охотничьих угодьях, жеребьевка не проводится и разрешения на добычу охотничьих ресурсов распределяются между охотниками в порядке поступления заявлений на приобретение права на получение разрешения на добычу охотничьих ресурсов.</w:t>
      </w:r>
    </w:p>
    <w:p w:rsidR="008062B1" w:rsidRDefault="008062B1">
      <w:pPr>
        <w:pStyle w:val="ConsPlusNormal"/>
        <w:spacing w:before="220"/>
        <w:ind w:firstLine="540"/>
        <w:jc w:val="both"/>
      </w:pPr>
      <w:r>
        <w:t xml:space="preserve">При этом, если охотниками, указанными в </w:t>
      </w:r>
      <w:hyperlink w:anchor="P5" w:history="1">
        <w:r>
          <w:rPr>
            <w:color w:val="0000FF"/>
          </w:rPr>
          <w:t>пункте 1 части 2</w:t>
        </w:r>
      </w:hyperlink>
      <w:r>
        <w:t xml:space="preserve"> настоящей статьи, не представлены в уполномоченный орган акты о выполнении работ, количество подлежащих выдаче разрешений на добычу охотничьих ресурсов распределяется среди охотников, указанных в </w:t>
      </w:r>
      <w:hyperlink w:anchor="P9" w:history="1">
        <w:r>
          <w:rPr>
            <w:color w:val="0000FF"/>
          </w:rPr>
          <w:t>пункте 2 части 2</w:t>
        </w:r>
      </w:hyperlink>
      <w:r>
        <w:t xml:space="preserve"> настоящей статьи.</w:t>
      </w:r>
    </w:p>
    <w:p w:rsidR="008062B1" w:rsidRDefault="008062B1">
      <w:pPr>
        <w:pStyle w:val="ConsPlusNormal"/>
        <w:spacing w:before="220"/>
        <w:ind w:firstLine="540"/>
        <w:jc w:val="both"/>
      </w:pPr>
      <w:r>
        <w:t>20. Выдача разрешений на добычу копытных животных, медведя, рыси, барсука для охоты в целях регулирования численности охотничьих ресурсов и в целях осуществления научно-исследовательской деятельности, образовательной деятельности в общедоступных охотничьих угодьях осуществляется на основании решения уполномоченного органа.</w:t>
      </w:r>
    </w:p>
    <w:p w:rsidR="008062B1" w:rsidRDefault="008062B1">
      <w:pPr>
        <w:pStyle w:val="ConsPlusNormal"/>
        <w:spacing w:before="220"/>
        <w:ind w:firstLine="540"/>
        <w:jc w:val="both"/>
      </w:pPr>
      <w:r>
        <w:t>21. Выдача разрешений на добычу охотничьих ресурсов в общедоступных охотничьих угодьях осуществляется уполномоченным органом в порядке, установленном законодательством Российской Федерации.</w:t>
      </w:r>
    </w:p>
    <w:p w:rsidR="008062B1" w:rsidRDefault="008062B1">
      <w:pPr>
        <w:pStyle w:val="ConsPlusNormal"/>
        <w:spacing w:before="220"/>
        <w:ind w:firstLine="540"/>
        <w:jc w:val="both"/>
      </w:pPr>
      <w:r>
        <w:t>22. Выдача разрешений на добычу охотничьих ресурсов в целях промысловой охоты в общедоступных охотничьих угодьях не осуществляется.</w:t>
      </w:r>
    </w:p>
    <w:p w:rsidR="008062B1" w:rsidRDefault="008062B1">
      <w:pPr>
        <w:pStyle w:val="ConsPlusNormal"/>
        <w:ind w:firstLine="540"/>
        <w:jc w:val="both"/>
      </w:pPr>
    </w:p>
    <w:p w:rsidR="008062B1" w:rsidRDefault="008062B1">
      <w:pPr>
        <w:pStyle w:val="ConsPlusNormal"/>
      </w:pPr>
      <w:hyperlink r:id="rId9" w:history="1">
        <w:r>
          <w:rPr>
            <w:i/>
            <w:color w:val="0000FF"/>
          </w:rPr>
          <w:br/>
          <w:t>{Закон Нижегородской области от 30.03.2010 N 42-З (ред. от 06.12.2018) "Об охоте и о сохранении охотничьих ресурсов в Нижегородской области" (принят постановлением ЗС НО от 25.03.2010 N 2001-IV)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}}</w:t>
        </w:r>
      </w:hyperlink>
      <w:r>
        <w:br/>
      </w:r>
    </w:p>
    <w:p w:rsidR="00043262" w:rsidRDefault="00043262"/>
    <w:sectPr w:rsidR="00043262" w:rsidSect="007F6E9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B1"/>
    <w:rsid w:val="00043262"/>
    <w:rsid w:val="000D6656"/>
    <w:rsid w:val="007F6E98"/>
    <w:rsid w:val="008062B1"/>
    <w:rsid w:val="00C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2B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8062B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2B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8062B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2DF59B42F212FDCEA6F9650B128F917FE27AABCBE6B1CF77078320C54474CF248886D78B3E4F25BCF1554195EDAAFC53F6AC5475C91911749CFD6vBe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B2DF59B42F212FDCEA6F9650B128F917FE27AABCBE6B1CF77078320C54474CF248886D78B3E4F25BCF1554185EDAAFC53F6AC5475C91911749CFD6vBe9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B2DF59B42F212FDCEA6F9650B128F917FE27AABCB96E1DFA7A78320C54474CF248886D78B3E4F25BCF15541B5EDAAFC53F6AC5475C91911749CFD6vBe9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0B2DF59B42F212FDCEA6F9650B128F917FE27AABCB86312FC7678320C54474CF248886D78B3E4F25BCF1555115EDAAFC53F6AC5475C91911749CFD6vBe9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B2DF59B42F212FDCEA6F9650B128F917FE27AABCB26C13F67378320C54474CF248886D78B3E4F25BCF175D115EDAAFC53F6AC5475C91911749CFD6vBe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10504</CharactersWithSpaces>
  <SharedDoc>false</SharedDoc>
  <HLinks>
    <vt:vector size="150" baseType="variant">
      <vt:variant>
        <vt:i4>7209067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consultantplus://offline/ref=30B2DF59B42F212FDCEA6F9650B128F917FE27AABCB26C13F67378320C54474CF248886D78B3E4F25BCF175D115EDAAFC53F6AC5475C91911749CFD6vBe9H</vt:lpwstr>
      </vt:variant>
      <vt:variant>
        <vt:lpwstr/>
      </vt:variant>
      <vt:variant>
        <vt:i4>3735664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3473520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P5</vt:lpwstr>
      </vt:variant>
      <vt:variant>
        <vt:i4>3342448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3276912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  <vt:variant>
        <vt:i4>3342448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3342448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3342448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3473520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P5</vt:lpwstr>
      </vt:variant>
      <vt:variant>
        <vt:i4>3407984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</vt:lpwstr>
      </vt:variant>
      <vt:variant>
        <vt:i4>3407984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</vt:lpwstr>
      </vt:variant>
      <vt:variant>
        <vt:i4>7209013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consultantplus://offline/ref=30B2DF59B42F212FDCEA6F9650B128F917FE27AABCBE6B1CF77078320C54474CF248886D78B3E4F25BCF1554195EDAAFC53F6AC5475C91911749CFD6vBe9H</vt:lpwstr>
      </vt:variant>
      <vt:variant>
        <vt:lpwstr/>
      </vt:variant>
      <vt:variant>
        <vt:i4>3407984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P4</vt:lpwstr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</vt:lpwstr>
      </vt:variant>
      <vt:variant>
        <vt:i4>3473520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</vt:lpwstr>
      </vt:variant>
      <vt:variant>
        <vt:i4>3407984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</vt:lpwstr>
      </vt:variant>
      <vt:variant>
        <vt:i4>7209012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consultantplus://offline/ref=30B2DF59B42F212FDCEA6F9650B128F917FE27AABCBE6B1CF77078320C54474CF248886D78B3E4F25BCF1554185EDAAFC53F6AC5475C91911749CFD6vBe9H</vt:lpwstr>
      </vt:variant>
      <vt:variant>
        <vt:lpwstr/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</vt:lpwstr>
      </vt:variant>
      <vt:variant>
        <vt:i4>7209013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consultantplus://offline/ref=30B2DF59B42F212FDCEA6F9650B128F917FE27AABCB96E1DFA7A78320C54474CF248886D78B3E4F25BCF15541B5EDAAFC53F6AC5475C91911749CFD6vBe9H</vt:lpwstr>
      </vt:variant>
      <vt:variant>
        <vt:lpwstr/>
      </vt:variant>
      <vt:variant>
        <vt:i4>3735664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</vt:lpwstr>
      </vt:variant>
      <vt:variant>
        <vt:i4>7209011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consultantplus://offline/ref=30B2DF59B42F212FDCEA6F9650B128F917FE27AABCB86312FC7678320C54474CF248886D78B3E4F25BCF1555115EDAAFC53F6AC5475C91911749CFD6vBe9H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Власова</dc:creator>
  <cp:lastModifiedBy>Dmitry</cp:lastModifiedBy>
  <cp:revision>2</cp:revision>
  <dcterms:created xsi:type="dcterms:W3CDTF">2021-04-29T09:55:00Z</dcterms:created>
  <dcterms:modified xsi:type="dcterms:W3CDTF">2021-04-29T09:55:00Z</dcterms:modified>
</cp:coreProperties>
</file>