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140686" w:rsidP="004E0BDD">
            <w:pPr>
              <w:jc w:val="center"/>
              <w:rPr>
                <w:color w:val="262626" w:themeColor="text1" w:themeTint="D9"/>
                <w:szCs w:val="28"/>
              </w:rPr>
            </w:pPr>
            <w:r>
              <w:rPr>
                <w:color w:val="262626" w:themeColor="text1" w:themeTint="D9"/>
                <w:sz w:val="28"/>
                <w:szCs w:val="28"/>
              </w:rPr>
              <w:t>28</w:t>
            </w:r>
            <w:r w:rsidR="008B53B7" w:rsidRPr="009908F4">
              <w:rPr>
                <w:color w:val="262626" w:themeColor="text1" w:themeTint="D9"/>
                <w:sz w:val="28"/>
                <w:szCs w:val="28"/>
              </w:rPr>
              <w:t>.</w:t>
            </w:r>
            <w:r w:rsidR="00524C7F" w:rsidRPr="009908F4">
              <w:rPr>
                <w:color w:val="262626" w:themeColor="text1" w:themeTint="D9"/>
                <w:sz w:val="28"/>
                <w:szCs w:val="28"/>
              </w:rPr>
              <w:t>0</w:t>
            </w:r>
            <w:r w:rsidR="004E0BDD">
              <w:rPr>
                <w:color w:val="262626" w:themeColor="text1" w:themeTint="D9"/>
                <w:sz w:val="28"/>
                <w:szCs w:val="28"/>
              </w:rPr>
              <w:t>6</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AB356B" w:rsidP="00C85297">
            <w:pPr>
              <w:jc w:val="center"/>
              <w:rPr>
                <w:color w:val="262626" w:themeColor="text1" w:themeTint="D9"/>
                <w:szCs w:val="28"/>
              </w:rPr>
            </w:pPr>
            <w:r>
              <w:rPr>
                <w:color w:val="262626" w:themeColor="text1" w:themeTint="D9"/>
                <w:sz w:val="28"/>
                <w:szCs w:val="28"/>
              </w:rPr>
              <w:t>7</w:t>
            </w:r>
            <w:r w:rsidR="00B92BCB">
              <w:rPr>
                <w:color w:val="262626" w:themeColor="text1" w:themeTint="D9"/>
                <w:sz w:val="28"/>
                <w:szCs w:val="28"/>
              </w:rPr>
              <w:t>9</w:t>
            </w:r>
          </w:p>
        </w:tc>
      </w:tr>
    </w:tbl>
    <w:p w:rsidR="00D12C3C"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1F51C8" w:rsidRPr="003227C5" w:rsidRDefault="001F51C8" w:rsidP="00D12C3C">
      <w:pPr>
        <w:ind w:firstLine="1276"/>
        <w:rPr>
          <w:color w:val="262626" w:themeColor="text1" w:themeTint="D9"/>
          <w:sz w:val="28"/>
          <w:szCs w:val="28"/>
        </w:rPr>
      </w:pPr>
    </w:p>
    <w:p w:rsidR="001F51C8" w:rsidRPr="003227C5" w:rsidRDefault="001F51C8" w:rsidP="00D12C3C">
      <w:pPr>
        <w:ind w:firstLine="1276"/>
        <w:rPr>
          <w:color w:val="262626" w:themeColor="text1" w:themeTint="D9"/>
          <w:sz w:val="28"/>
          <w:szCs w:val="28"/>
        </w:rPr>
      </w:pPr>
    </w:p>
    <w:p w:rsidR="00B92BCB" w:rsidRPr="00554760" w:rsidRDefault="00B92BCB" w:rsidP="00B92BCB">
      <w:pPr>
        <w:ind w:left="567" w:right="4818"/>
        <w:rPr>
          <w:sz w:val="28"/>
          <w:szCs w:val="28"/>
        </w:rPr>
      </w:pPr>
      <w:bookmarkStart w:id="0" w:name="P205"/>
      <w:bookmarkEnd w:id="0"/>
      <w:r w:rsidRPr="00554760">
        <w:rPr>
          <w:sz w:val="28"/>
          <w:szCs w:val="28"/>
        </w:rPr>
        <w:t>Об объявлении благодарности Муниципального Собрания Гладышеву  В.Н.</w:t>
      </w:r>
    </w:p>
    <w:p w:rsidR="00B92BCB" w:rsidRPr="00554760" w:rsidRDefault="00B92BCB" w:rsidP="00B92BCB">
      <w:pPr>
        <w:jc w:val="both"/>
        <w:rPr>
          <w:sz w:val="28"/>
          <w:szCs w:val="28"/>
        </w:rPr>
      </w:pPr>
    </w:p>
    <w:p w:rsidR="00B92BCB" w:rsidRPr="00554760" w:rsidRDefault="00B92BCB" w:rsidP="00B92BCB">
      <w:pPr>
        <w:jc w:val="both"/>
        <w:rPr>
          <w:sz w:val="28"/>
          <w:szCs w:val="28"/>
        </w:rPr>
      </w:pPr>
    </w:p>
    <w:p w:rsidR="00B92BCB" w:rsidRPr="00554760" w:rsidRDefault="00B92BCB" w:rsidP="00B92BCB">
      <w:pPr>
        <w:ind w:firstLine="567"/>
        <w:jc w:val="both"/>
        <w:rPr>
          <w:sz w:val="28"/>
          <w:szCs w:val="28"/>
        </w:rPr>
      </w:pPr>
      <w:r w:rsidRPr="00554760">
        <w:rPr>
          <w:sz w:val="28"/>
          <w:szCs w:val="28"/>
        </w:rPr>
        <w:t xml:space="preserve">Рассмотрев ходатайство </w:t>
      </w:r>
      <w:r w:rsidRPr="00554760">
        <w:rPr>
          <w:color w:val="0D0D0D" w:themeColor="text1" w:themeTint="F2"/>
          <w:sz w:val="28"/>
          <w:szCs w:val="28"/>
          <w:shd w:val="clear" w:color="auto" w:fill="FFFFFF"/>
        </w:rPr>
        <w:t>общества с ограниченной ответственностью</w:t>
      </w:r>
      <w:r>
        <w:rPr>
          <w:color w:val="0D0D0D" w:themeColor="text1" w:themeTint="F2"/>
          <w:sz w:val="28"/>
          <w:szCs w:val="28"/>
          <w:shd w:val="clear" w:color="auto" w:fill="FFFFFF"/>
        </w:rPr>
        <w:t xml:space="preserve"> «Енангское»</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 xml:space="preserve">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554760">
        <w:rPr>
          <w:b/>
          <w:sz w:val="28"/>
          <w:szCs w:val="28"/>
        </w:rPr>
        <w:t>РЕШИЛО</w:t>
      </w:r>
      <w:r w:rsidRPr="00554760">
        <w:rPr>
          <w:sz w:val="28"/>
          <w:szCs w:val="28"/>
        </w:rPr>
        <w:t xml:space="preserve">: </w:t>
      </w:r>
    </w:p>
    <w:p w:rsidR="00B92BCB" w:rsidRPr="00554760" w:rsidRDefault="00B92BCB" w:rsidP="00B92BCB">
      <w:pPr>
        <w:pStyle w:val="a5"/>
        <w:tabs>
          <w:tab w:val="left" w:pos="0"/>
          <w:tab w:val="left" w:pos="284"/>
          <w:tab w:val="left" w:pos="851"/>
        </w:tabs>
        <w:autoSpaceDE w:val="0"/>
        <w:autoSpaceDN w:val="0"/>
        <w:adjustRightInd w:val="0"/>
        <w:ind w:left="0" w:firstLine="567"/>
        <w:jc w:val="both"/>
        <w:rPr>
          <w:sz w:val="28"/>
          <w:szCs w:val="28"/>
        </w:rPr>
      </w:pPr>
      <w:r w:rsidRPr="00554760">
        <w:rPr>
          <w:sz w:val="28"/>
          <w:szCs w:val="28"/>
        </w:rPr>
        <w:t>Объявить благодарность Муниципального Собрания Гладышеву Василию Николаевичу, водителю общества с ограниченной ответственностью</w:t>
      </w:r>
      <w:r>
        <w:rPr>
          <w:sz w:val="28"/>
          <w:szCs w:val="28"/>
        </w:rPr>
        <w:t xml:space="preserve"> «Енангское»</w:t>
      </w:r>
      <w:r w:rsidRPr="00554760">
        <w:rPr>
          <w:sz w:val="28"/>
          <w:szCs w:val="28"/>
        </w:rPr>
        <w:t xml:space="preserve"> за многолетний добросовестный труд в сельском хозяйстве. </w:t>
      </w:r>
    </w:p>
    <w:p w:rsidR="003227C5" w:rsidRDefault="003227C5" w:rsidP="003227C5">
      <w:pPr>
        <w:jc w:val="both"/>
        <w:rPr>
          <w:sz w:val="28"/>
          <w:szCs w:val="28"/>
        </w:rPr>
      </w:pPr>
    </w:p>
    <w:p w:rsidR="003227C5" w:rsidRDefault="003227C5"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CB" w:rsidRDefault="00774FCB" w:rsidP="006B1A05">
      <w:r>
        <w:separator/>
      </w:r>
    </w:p>
  </w:endnote>
  <w:endnote w:type="continuationSeparator" w:id="0">
    <w:p w:rsidR="00774FCB" w:rsidRDefault="00774FC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CB" w:rsidRDefault="00774FCB" w:rsidP="006B1A05">
      <w:r>
        <w:separator/>
      </w:r>
    </w:p>
  </w:footnote>
  <w:footnote w:type="continuationSeparator" w:id="0">
    <w:p w:rsidR="00774FCB" w:rsidRDefault="00774FC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E5793">
        <w:pPr>
          <w:pStyle w:val="a8"/>
          <w:jc w:val="center"/>
        </w:pPr>
        <w:fldSimple w:instr=" PAGE   \* MERGEFORMAT ">
          <w:r w:rsidR="00574EA2">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53A"/>
    <w:rsid w:val="00136664"/>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A1B5-021C-4394-B9A0-4BA09249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2018-07-02T11:17:00Z</cp:lastPrinted>
  <dcterms:created xsi:type="dcterms:W3CDTF">2018-07-02T11:08:00Z</dcterms:created>
  <dcterms:modified xsi:type="dcterms:W3CDTF">2018-07-02T12:01:00Z</dcterms:modified>
</cp:coreProperties>
</file>