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5" w:rsidRPr="00367E4D" w:rsidRDefault="00DE7879" w:rsidP="005859C5">
      <w:pPr>
        <w:rPr>
          <w:b/>
          <w:sz w:val="28"/>
          <w:szCs w:val="28"/>
          <w:u w:val="single"/>
        </w:rPr>
      </w:pPr>
      <w:r w:rsidRPr="00367E4D">
        <w:rPr>
          <w:b/>
          <w:sz w:val="28"/>
          <w:szCs w:val="28"/>
          <w:u w:val="single"/>
        </w:rPr>
        <w:t>2</w:t>
      </w:r>
      <w:r w:rsidR="00AF2FC9">
        <w:rPr>
          <w:b/>
          <w:sz w:val="28"/>
          <w:szCs w:val="28"/>
          <w:u w:val="single"/>
        </w:rPr>
        <w:t>8</w:t>
      </w:r>
      <w:r w:rsidR="005859C5" w:rsidRPr="00367E4D">
        <w:rPr>
          <w:b/>
          <w:sz w:val="28"/>
          <w:szCs w:val="28"/>
          <w:u w:val="single"/>
        </w:rPr>
        <w:t>.04</w:t>
      </w:r>
      <w:r w:rsidR="00367E4D" w:rsidRPr="00367E4D">
        <w:rPr>
          <w:b/>
          <w:sz w:val="28"/>
          <w:szCs w:val="28"/>
          <w:u w:val="single"/>
        </w:rPr>
        <w:t>.202</w:t>
      </w:r>
      <w:r w:rsidR="00AF2FC9">
        <w:rPr>
          <w:b/>
          <w:sz w:val="28"/>
          <w:szCs w:val="28"/>
          <w:u w:val="single"/>
        </w:rPr>
        <w:t>1</w:t>
      </w:r>
    </w:p>
    <w:p w:rsidR="00DE7879" w:rsidRDefault="00DE7879" w:rsidP="005859C5">
      <w:pPr>
        <w:rPr>
          <w:b/>
        </w:rPr>
      </w:pPr>
    </w:p>
    <w:p w:rsidR="007074EA" w:rsidRPr="00D62351" w:rsidRDefault="007074EA" w:rsidP="007074EA">
      <w:pPr>
        <w:jc w:val="center"/>
        <w:rPr>
          <w:b/>
          <w:sz w:val="28"/>
          <w:szCs w:val="28"/>
        </w:rPr>
      </w:pPr>
      <w:r w:rsidRPr="00D62351">
        <w:rPr>
          <w:b/>
          <w:bCs/>
          <w:sz w:val="28"/>
          <w:szCs w:val="28"/>
        </w:rPr>
        <w:t>Сведения о проведенном экспертно-аналитическом мероприятии «</w:t>
      </w:r>
      <w:r w:rsidRPr="00D62351">
        <w:rPr>
          <w:b/>
          <w:sz w:val="28"/>
          <w:szCs w:val="28"/>
        </w:rPr>
        <w:t xml:space="preserve">Внешняя проверка годового отчета об исполнении бюджета </w:t>
      </w:r>
      <w:r>
        <w:rPr>
          <w:b/>
          <w:sz w:val="28"/>
          <w:szCs w:val="28"/>
        </w:rPr>
        <w:t xml:space="preserve">сельского поселения Кичменгское </w:t>
      </w:r>
      <w:r w:rsidRPr="00D62351">
        <w:rPr>
          <w:b/>
          <w:sz w:val="28"/>
          <w:szCs w:val="28"/>
        </w:rPr>
        <w:t xml:space="preserve">за 2020 год» </w:t>
      </w:r>
      <w:r w:rsidRPr="00D62351">
        <w:rPr>
          <w:b/>
          <w:bCs/>
          <w:sz w:val="28"/>
          <w:szCs w:val="28"/>
        </w:rPr>
        <w:t xml:space="preserve"> </w:t>
      </w:r>
    </w:p>
    <w:p w:rsidR="006D5D73" w:rsidRPr="00367E4D" w:rsidRDefault="006D5D73" w:rsidP="00367E4D">
      <w:pPr>
        <w:rPr>
          <w:b/>
          <w:u w:val="single"/>
        </w:rPr>
      </w:pPr>
    </w:p>
    <w:p w:rsidR="000539AD" w:rsidRPr="00865C9A" w:rsidRDefault="007074EA" w:rsidP="000539AD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подготовлены </w:t>
      </w:r>
      <w:r w:rsidR="000539AD" w:rsidRPr="00865C9A">
        <w:rPr>
          <w:sz w:val="28"/>
          <w:szCs w:val="28"/>
        </w:rPr>
        <w:t xml:space="preserve">по результатам </w:t>
      </w:r>
      <w:proofErr w:type="gramStart"/>
      <w:r w:rsidR="000539AD" w:rsidRPr="00865C9A">
        <w:rPr>
          <w:sz w:val="28"/>
          <w:szCs w:val="28"/>
        </w:rPr>
        <w:t>экспертизы проекта решения Совета сельского поселения</w:t>
      </w:r>
      <w:proofErr w:type="gramEnd"/>
      <w:r w:rsidR="000539AD" w:rsidRPr="00865C9A">
        <w:rPr>
          <w:sz w:val="28"/>
          <w:szCs w:val="28"/>
        </w:rPr>
        <w:t xml:space="preserve"> Кичменгское «Об утверждении отчета об исполнении бюджета сельского поселения Кичменгское за 2020 год» на основе итогов внешней проверки годовой бюджетной отчетности администрации сельского поселения Кичменгское за 2020 год, проведенной в соответствии с требованиями статьи 264.4. </w:t>
      </w:r>
      <w:proofErr w:type="gramStart"/>
      <w:r w:rsidR="000539AD" w:rsidRPr="00865C9A">
        <w:rPr>
          <w:sz w:val="28"/>
          <w:szCs w:val="28"/>
        </w:rPr>
        <w:t>Бюджетного кодекса Российской Федерации, статьи 8 Положения о контрольно-ревизионной комиссии Муниципального Собрания Кичменгско-Городецкого муниципального района, утверждённого решением Муниципального Собрания от 08.12.2011 № 208, статьи 1 Соглашения между Советом сельского поселении Кичменгское и 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 от 30 декабря 2019 года, Положения о бюджетном процессе</w:t>
      </w:r>
      <w:proofErr w:type="gramEnd"/>
      <w:r w:rsidR="000539AD" w:rsidRPr="00865C9A">
        <w:rPr>
          <w:sz w:val="28"/>
          <w:szCs w:val="28"/>
        </w:rPr>
        <w:t xml:space="preserve"> сельского поселения Кичменгское, утвержденного решением Совета сельского поселения Кичменгское от 14.11.2013 № 27 (с внесенными изменениями и дополнениями), планом работы контрольно-ревизионной комиссии на 202</w:t>
      </w:r>
      <w:r w:rsidR="000539AD">
        <w:rPr>
          <w:sz w:val="28"/>
          <w:szCs w:val="28"/>
        </w:rPr>
        <w:t>1</w:t>
      </w:r>
      <w:r w:rsidR="000539AD" w:rsidRPr="00865C9A">
        <w:rPr>
          <w:sz w:val="28"/>
          <w:szCs w:val="28"/>
        </w:rPr>
        <w:t xml:space="preserve"> год.</w:t>
      </w:r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ind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Основным правовым актом в системе правового регулирования вопросов местного значения в сельском поселении является Устав, принятый решением Совета сельского поселения Кичменгское от 14.11.2013 № 24 с последующими изменениями  (далее – Устав). </w:t>
      </w:r>
    </w:p>
    <w:p w:rsidR="000539AD" w:rsidRPr="00865C9A" w:rsidRDefault="000539AD" w:rsidP="000539AD">
      <w:pPr>
        <w:autoSpaceDE w:val="0"/>
        <w:ind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 и т.д.</w:t>
      </w:r>
    </w:p>
    <w:p w:rsidR="000539AD" w:rsidRPr="00865C9A" w:rsidRDefault="000539AD" w:rsidP="000539A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865C9A">
        <w:rPr>
          <w:szCs w:val="28"/>
          <w:shd w:val="clear" w:color="auto" w:fill="FFFFFF"/>
        </w:rPr>
        <w:t xml:space="preserve">Администрация сельского поселения Кичменгское является органом местного самоуправления, 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 </w:t>
      </w:r>
    </w:p>
    <w:p w:rsidR="000539AD" w:rsidRPr="00865C9A" w:rsidRDefault="000539AD" w:rsidP="000539A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865C9A">
        <w:rPr>
          <w:szCs w:val="28"/>
          <w:shd w:val="clear" w:color="auto" w:fill="FFFFFF"/>
        </w:rPr>
        <w:t>Подведомственных учреждений нет.</w:t>
      </w:r>
    </w:p>
    <w:p w:rsidR="000539AD" w:rsidRPr="00865C9A" w:rsidRDefault="000539AD" w:rsidP="000539A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865C9A">
        <w:rPr>
          <w:szCs w:val="28"/>
          <w:shd w:val="clear" w:color="auto" w:fill="FFFFFF"/>
        </w:rPr>
        <w:t>Полномочия по исполнению местного бюджета в части ведения  бюджетного (бухгалтерского) учета и составлению отчетности органами местного самоуправления поселения переданы администрации Кичменгско-Городецкого муниципального района в лице Управления финансов администрации Кичменгско-Городецкого муниципального района на основании соглашения от 30 декабря 2019 года.</w:t>
      </w:r>
    </w:p>
    <w:p w:rsidR="000539AD" w:rsidRPr="00865C9A" w:rsidRDefault="000539AD" w:rsidP="000539AD">
      <w:pPr>
        <w:ind w:firstLine="567"/>
        <w:jc w:val="both"/>
        <w:rPr>
          <w:spacing w:val="-6"/>
          <w:sz w:val="28"/>
          <w:szCs w:val="28"/>
        </w:rPr>
      </w:pPr>
      <w:r w:rsidRPr="00865C9A">
        <w:rPr>
          <w:spacing w:val="-6"/>
          <w:sz w:val="28"/>
          <w:szCs w:val="28"/>
        </w:rPr>
        <w:lastRenderedPageBreak/>
        <w:t xml:space="preserve">Исполнителем централизованной бухгалтерии, составившим бухгалтерскую отчетность за 2020 год, является </w:t>
      </w:r>
      <w:proofErr w:type="spellStart"/>
      <w:r w:rsidRPr="00865C9A">
        <w:rPr>
          <w:spacing w:val="-6"/>
          <w:sz w:val="28"/>
          <w:szCs w:val="28"/>
        </w:rPr>
        <w:t>Бачерикова</w:t>
      </w:r>
      <w:proofErr w:type="spellEnd"/>
      <w:r w:rsidRPr="00865C9A">
        <w:rPr>
          <w:spacing w:val="-6"/>
          <w:sz w:val="28"/>
          <w:szCs w:val="28"/>
        </w:rPr>
        <w:t xml:space="preserve"> Ирина Владимировна, и.о. ведущий бухгалтер. 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Годовая бюджетная отчетность в контрольно-ревизионную комиссию направлена администрацией сельского поселения Кичменгское в установленный п. 8.3 Положения о бюджетном процессе срок. 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Одновременно с годовым отчетом об исполнении бюджета представлен проект решения Совета сельского поселения Кичменгское «Об утверждении отчета об исполнении бюджета сельского поселения Кичменгское за 2020 год». </w:t>
      </w:r>
    </w:p>
    <w:p w:rsidR="000539AD" w:rsidRPr="00865C9A" w:rsidRDefault="000539AD" w:rsidP="000539AD">
      <w:pPr>
        <w:ind w:right="-144" w:firstLine="539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Проектом решения предлагается утвердить отчет об исполнении бюджета СП Кичменгское за 2020 год по доходам в сумме 14 167 064,20 рублей, по расходам в сумме 13 608 246,83 рублей, с </w:t>
      </w:r>
      <w:proofErr w:type="spellStart"/>
      <w:r w:rsidRPr="00865C9A">
        <w:rPr>
          <w:sz w:val="28"/>
          <w:szCs w:val="28"/>
        </w:rPr>
        <w:t>профицитом</w:t>
      </w:r>
      <w:proofErr w:type="spellEnd"/>
      <w:r w:rsidRPr="00865C9A">
        <w:rPr>
          <w:sz w:val="28"/>
          <w:szCs w:val="28"/>
        </w:rPr>
        <w:t xml:space="preserve"> в сумме 558 817,37 рублей.</w:t>
      </w:r>
    </w:p>
    <w:p w:rsidR="000539AD" w:rsidRPr="00865C9A" w:rsidRDefault="000539AD" w:rsidP="000539AD">
      <w:pPr>
        <w:ind w:right="-144" w:firstLine="539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Администрацией сельского поселения Кичменгское бюджетная отчетность в контрольно-ревизионную комиссию представлена на бумажном носителе в сброшюрованном и пронумерованном виде с оглавлением и сопроводительным письмом, что соответствует п. 4 Инструкции № 191н.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Годовая бухгалтерская отчетность составлена нарастающим итогом с начала года в рублях с точностью до второго десятичного знака после запятой, что соответствует требованиям Инструкции 191н.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Проведенной внешней проверкой устанавливалась полнота представления,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 w:rsidR="000539AD" w:rsidRPr="00865C9A" w:rsidRDefault="000539AD" w:rsidP="00EE38C8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Годовой отчет об исполнении бюджета сельского поселения сформирован по формам, предусмотренным подпунктами 11.1., 11.2. раздела </w:t>
      </w:r>
      <w:r w:rsidRPr="00865C9A">
        <w:rPr>
          <w:sz w:val="28"/>
          <w:szCs w:val="28"/>
          <w:lang w:val="en-US"/>
        </w:rPr>
        <w:t>I</w:t>
      </w:r>
      <w:r w:rsidRPr="00865C9A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для финансового органа</w:t>
      </w:r>
      <w:r w:rsidR="00EE38C8">
        <w:rPr>
          <w:sz w:val="28"/>
          <w:szCs w:val="28"/>
        </w:rPr>
        <w:t>.</w:t>
      </w:r>
    </w:p>
    <w:p w:rsidR="000539AD" w:rsidRPr="00865C9A" w:rsidRDefault="000539AD" w:rsidP="000539AD">
      <w:pPr>
        <w:ind w:firstLine="567"/>
        <w:jc w:val="both"/>
        <w:rPr>
          <w:sz w:val="28"/>
          <w:szCs w:val="28"/>
        </w:rPr>
      </w:pPr>
      <w:r w:rsidRPr="00865C9A">
        <w:rPr>
          <w:rStyle w:val="af1"/>
          <w:b/>
          <w:i/>
          <w:sz w:val="28"/>
          <w:szCs w:val="28"/>
        </w:rPr>
        <w:footnoteReference w:id="1"/>
      </w:r>
      <w:r w:rsidRPr="00865C9A">
        <w:rPr>
          <w:sz w:val="28"/>
          <w:szCs w:val="28"/>
        </w:rPr>
        <w:t xml:space="preserve"> В разделе 5 «Прочие вопросы деятельности субъекта бюджетной отчетности» в текстовой части раздела (страница отчета 142) в перечне форм, не включенных в состав годовой отчетности в виду отсутствия числовых значений, указаны формы, которые исключены из годовой отчетности </w:t>
      </w:r>
      <w:r>
        <w:rPr>
          <w:sz w:val="28"/>
          <w:szCs w:val="28"/>
        </w:rPr>
        <w:t xml:space="preserve">ГАБС </w:t>
      </w:r>
      <w:r w:rsidRPr="00865C9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865C9A">
        <w:rPr>
          <w:sz w:val="28"/>
          <w:szCs w:val="28"/>
        </w:rPr>
        <w:t>Инструкции № 191н:</w:t>
      </w:r>
    </w:p>
    <w:p w:rsidR="000539AD" w:rsidRPr="00E301E9" w:rsidRDefault="000539AD" w:rsidP="000539AD">
      <w:pPr>
        <w:jc w:val="both"/>
        <w:rPr>
          <w:sz w:val="28"/>
          <w:szCs w:val="28"/>
        </w:rPr>
      </w:pPr>
      <w:r w:rsidRPr="00E301E9">
        <w:rPr>
          <w:sz w:val="28"/>
          <w:szCs w:val="28"/>
        </w:rPr>
        <w:t xml:space="preserve">-  Таблица № 1 «Сведения о направлениях деятельности»; </w:t>
      </w:r>
    </w:p>
    <w:p w:rsidR="000539AD" w:rsidRPr="00865C9A" w:rsidRDefault="000539AD" w:rsidP="000539AD">
      <w:pPr>
        <w:jc w:val="both"/>
        <w:rPr>
          <w:sz w:val="28"/>
          <w:szCs w:val="28"/>
        </w:rPr>
      </w:pPr>
      <w:r w:rsidRPr="00E301E9">
        <w:rPr>
          <w:sz w:val="28"/>
          <w:szCs w:val="28"/>
        </w:rPr>
        <w:t>-  Таблица № 4 «Сведения об особенностях ведения бухгалтерского учета».</w:t>
      </w:r>
      <w:r w:rsidRPr="00865C9A">
        <w:rPr>
          <w:sz w:val="28"/>
          <w:szCs w:val="28"/>
        </w:rPr>
        <w:t xml:space="preserve">     </w:t>
      </w:r>
    </w:p>
    <w:p w:rsidR="000539AD" w:rsidRPr="00865C9A" w:rsidRDefault="000539AD" w:rsidP="000539AD">
      <w:pPr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Таблица № 5 «Сведения о результатах мероприятий внутреннего (муниципального) финансового контроля»;</w:t>
      </w:r>
    </w:p>
    <w:p w:rsidR="000539AD" w:rsidRPr="00865C9A" w:rsidRDefault="000539AD" w:rsidP="000539AD">
      <w:pPr>
        <w:jc w:val="both"/>
        <w:rPr>
          <w:sz w:val="28"/>
          <w:szCs w:val="28"/>
        </w:rPr>
      </w:pPr>
      <w:r w:rsidRPr="00865C9A">
        <w:rPr>
          <w:sz w:val="28"/>
          <w:szCs w:val="28"/>
        </w:rPr>
        <w:lastRenderedPageBreak/>
        <w:t>- Таблица № 7 «Сведения о результатах внешнего государственного (муниципального) контроля».</w:t>
      </w:r>
    </w:p>
    <w:p w:rsidR="000539AD" w:rsidRPr="00865C9A" w:rsidRDefault="000539AD" w:rsidP="000539AD">
      <w:pPr>
        <w:jc w:val="both"/>
        <w:rPr>
          <w:sz w:val="14"/>
          <w:szCs w:val="14"/>
        </w:rPr>
      </w:pPr>
    </w:p>
    <w:p w:rsidR="000539AD" w:rsidRPr="00865C9A" w:rsidRDefault="000539AD" w:rsidP="000539AD">
      <w:pPr>
        <w:ind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0539AD" w:rsidRPr="000D10EE" w:rsidRDefault="000539AD" w:rsidP="000D10EE">
      <w:pPr>
        <w:ind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Годовая отчетность об исполнении бюджета сельского поселения Кичменгское и сводная бухгалтерская отчетность муниципальных бюджетных учреждений поселения за 2020 год рассмотрена и проверена Управлением финансов администрации района, разногласий не установлено. </w:t>
      </w:r>
    </w:p>
    <w:p w:rsidR="000539AD" w:rsidRPr="00865C9A" w:rsidRDefault="000539AD" w:rsidP="000D10EE">
      <w:pPr>
        <w:rPr>
          <w:sz w:val="16"/>
          <w:szCs w:val="16"/>
        </w:rPr>
      </w:pP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Первоначальный план по доходам и расходам бюджета утвержден решением Совета сельского поселения Кичменгское от 25.12.2019 № 32 «О бюджете сельского поселения Кичменгское на 2020 год и плановый период 2021 и 2022 годов» в сумме 15 453,8 тыс. рублей.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В процессе исполнения бюджета изменения в местный бюджет Советом сельского поселения вносились неоднократно (9 раз).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proofErr w:type="gramStart"/>
      <w:r w:rsidRPr="00865C9A">
        <w:rPr>
          <w:sz w:val="28"/>
          <w:szCs w:val="28"/>
        </w:rPr>
        <w:t>Уточненные бюджетные назначения на 2020 год, утвержденные решением Совета сельского поселения Кичменгское от 30.12.2020 № 37 «О внесении изменений в решение Совета от 25.12.2019 № 32 «О бюджете сельского поселения Кичменгское на 20</w:t>
      </w:r>
      <w:r>
        <w:rPr>
          <w:sz w:val="28"/>
          <w:szCs w:val="28"/>
        </w:rPr>
        <w:t>20</w:t>
      </w:r>
      <w:r w:rsidRPr="00865C9A">
        <w:rPr>
          <w:sz w:val="28"/>
          <w:szCs w:val="28"/>
        </w:rPr>
        <w:t xml:space="preserve"> год и плановый период 2021 и 2022 годов», составили: по доходам 14 174,6 тыс. рублей, по расходам 13 615,7 тыс. рублей. </w:t>
      </w:r>
      <w:proofErr w:type="gramEnd"/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Таким образом, с учетом изменений, бюджет сельского поселения на 2020год был утвержден с </w:t>
      </w:r>
      <w:proofErr w:type="spellStart"/>
      <w:r>
        <w:rPr>
          <w:sz w:val="28"/>
          <w:szCs w:val="28"/>
        </w:rPr>
        <w:t>профицитом</w:t>
      </w:r>
      <w:proofErr w:type="spellEnd"/>
      <w:r w:rsidRPr="00865C9A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доходов</w:t>
      </w:r>
      <w:r w:rsidRPr="00865C9A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865C9A">
        <w:rPr>
          <w:sz w:val="28"/>
          <w:szCs w:val="28"/>
        </w:rPr>
        <w:t>, в сумме 558,9 тыс. рублей.</w:t>
      </w:r>
    </w:p>
    <w:p w:rsidR="000539AD" w:rsidRPr="000D10EE" w:rsidRDefault="000539AD" w:rsidP="000D10EE">
      <w:pPr>
        <w:pStyle w:val="ab"/>
        <w:tabs>
          <w:tab w:val="left" w:pos="9720"/>
        </w:tabs>
        <w:ind w:right="-144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865C9A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2020 год сельским поселением Кичменгское исполнен: доходная часть 14 167 064,20 рублей; расходная часть — 13 608 246,83 рублей, </w:t>
      </w:r>
      <w:proofErr w:type="spellStart"/>
      <w:r>
        <w:rPr>
          <w:rFonts w:ascii="Times New Roman" w:hAnsi="Times New Roman" w:cs="Times New Roman"/>
          <w:b w:val="0"/>
          <w:szCs w:val="28"/>
          <w:lang w:val="ru-RU"/>
        </w:rPr>
        <w:t>профицит</w:t>
      </w:r>
      <w:proofErr w:type="spellEnd"/>
      <w:r w:rsidRPr="00865C9A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558 817,37 рублей.</w:t>
      </w:r>
    </w:p>
    <w:p w:rsidR="000539AD" w:rsidRPr="00865C9A" w:rsidRDefault="000539AD" w:rsidP="000D10EE">
      <w:pPr>
        <w:ind w:right="-285"/>
        <w:rPr>
          <w:sz w:val="16"/>
          <w:szCs w:val="16"/>
        </w:rPr>
      </w:pP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С учетом всех изменений окончательным решением о бюджете от 30.12.2020 № 37 доходы уменьшены на 1 279,2 тыс. рублей (91,7% от первоначально утвержденных бюджетных назначений). Плановые назначения изменены: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по налоговым доходам уменьшение на 577,0 тыс. рублей, или на 20,9%;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по неналоговым доходам больше на 85,7 тыс. рублей, увеличение в 5,5 раз;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по безвозмездным поступлениям уменьшение на 787,9 тыс. рублей, или на 6,2%.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Структуру уточненных доходов бюджета муниципального образования составили: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- 14 174,6 тыс. рублей – всего доходов, из них собственные доходы 2 285,7 тыс. рублей (16,1% от общего объема доходов, в 2019 году 11,4%);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- 11 888,9 тыс. рублей – безвозмездные поступления (83,9% от общего объема доходов, в 2019году 88,5%).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сельского поселения составило: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lastRenderedPageBreak/>
        <w:t>14 167,1 тыс. рублей – всего доходов (99,0% от уточненных бюджетных назначений), из них 2 285,7 тыс. рублей - собственные доходы (100% от уточненных бюджетных назначений), 11 881,4 тыс. рублей - безвозмездные поступления (99,9% от уточненных бюджетных назначений).</w:t>
      </w:r>
    </w:p>
    <w:p w:rsidR="000539AD" w:rsidRPr="00865C9A" w:rsidRDefault="000539AD" w:rsidP="000539AD">
      <w:pPr>
        <w:pStyle w:val="1"/>
        <w:ind w:right="-144"/>
        <w:jc w:val="center"/>
        <w:rPr>
          <w:sz w:val="16"/>
          <w:szCs w:val="16"/>
        </w:rPr>
      </w:pPr>
    </w:p>
    <w:p w:rsidR="000539AD" w:rsidRPr="00865C9A" w:rsidRDefault="000539AD" w:rsidP="000539AD">
      <w:pPr>
        <w:pStyle w:val="1"/>
        <w:ind w:right="-144"/>
        <w:rPr>
          <w:sz w:val="28"/>
          <w:szCs w:val="28"/>
        </w:rPr>
      </w:pPr>
      <w:r w:rsidRPr="00865C9A">
        <w:rPr>
          <w:sz w:val="28"/>
          <w:szCs w:val="28"/>
        </w:rPr>
        <w:t>Объем налоговых и неналоговых доходов в общем объеме доходов составил 16,1% (в 2019 году – 10,7%).</w:t>
      </w:r>
    </w:p>
    <w:p w:rsidR="000539AD" w:rsidRPr="00865C9A" w:rsidRDefault="000539AD" w:rsidP="000539AD">
      <w:pPr>
        <w:pStyle w:val="1"/>
        <w:ind w:right="-144"/>
        <w:rPr>
          <w:sz w:val="28"/>
          <w:szCs w:val="28"/>
        </w:rPr>
      </w:pPr>
      <w:r w:rsidRPr="00865C9A">
        <w:rPr>
          <w:sz w:val="28"/>
          <w:szCs w:val="28"/>
        </w:rPr>
        <w:t>Источниками фактического исполнения налоговых доходов бюджета сельского поселения являются:</w:t>
      </w:r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865C9A">
        <w:rPr>
          <w:sz w:val="28"/>
          <w:szCs w:val="28"/>
        </w:rPr>
        <w:t>земельный налог - 1 314,2 тыс. рублей, удельный вес которого в собственных доходах 57,5%, в общих доходах 9,3%;</w:t>
      </w:r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865C9A">
        <w:rPr>
          <w:sz w:val="28"/>
          <w:szCs w:val="28"/>
        </w:rPr>
        <w:t>налог на имущество физических лиц в сумме 483,2 тыс. рублей, с удельным весом в собственных доходах 21,1%, в общих 3,4%;</w:t>
      </w:r>
      <w:proofErr w:type="gramEnd"/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865C9A">
        <w:rPr>
          <w:sz w:val="28"/>
          <w:szCs w:val="28"/>
        </w:rPr>
        <w:t xml:space="preserve">налог на доходы физических лиц – 345,8 тыс. рублей, удельный </w:t>
      </w:r>
      <w:proofErr w:type="gramStart"/>
      <w:r w:rsidRPr="00865C9A">
        <w:rPr>
          <w:sz w:val="28"/>
          <w:szCs w:val="28"/>
        </w:rPr>
        <w:t>вес</w:t>
      </w:r>
      <w:proofErr w:type="gramEnd"/>
      <w:r w:rsidRPr="00865C9A">
        <w:rPr>
          <w:sz w:val="28"/>
          <w:szCs w:val="28"/>
        </w:rPr>
        <w:t xml:space="preserve"> которого составил 2,4% в общем объеме доходов бюджета и 15,1% в собственных;</w:t>
      </w:r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865C9A">
        <w:rPr>
          <w:sz w:val="28"/>
          <w:szCs w:val="28"/>
        </w:rPr>
        <w:t>единый сельскохозяйственный налог – 12,2 тыс. рублей, в общих доходах составил 0,1%, в собственных 0,6%;</w:t>
      </w:r>
      <w:proofErr w:type="gramEnd"/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865C9A">
        <w:rPr>
          <w:sz w:val="28"/>
          <w:szCs w:val="28"/>
        </w:rPr>
        <w:t>государственная пошлина в сумме 25,6 тыс. рублей, с удельным весом в собственных доходах 1,1%, в общих доходах 0,2%.</w:t>
      </w:r>
    </w:p>
    <w:p w:rsidR="000539AD" w:rsidRPr="00865C9A" w:rsidRDefault="000539AD" w:rsidP="000539AD">
      <w:pPr>
        <w:pStyle w:val="1"/>
        <w:ind w:right="-144"/>
        <w:rPr>
          <w:sz w:val="28"/>
          <w:szCs w:val="28"/>
        </w:rPr>
      </w:pPr>
      <w:r w:rsidRPr="00865C9A">
        <w:rPr>
          <w:sz w:val="28"/>
          <w:szCs w:val="28"/>
        </w:rPr>
        <w:t>Источниками фактического исполнения неналоговых доходов бюджета сельского поселения являются</w:t>
      </w:r>
      <w:proofErr w:type="gramStart"/>
      <w:r w:rsidRPr="00865C9A">
        <w:rPr>
          <w:sz w:val="28"/>
          <w:szCs w:val="28"/>
        </w:rPr>
        <w:t xml:space="preserve"> :</w:t>
      </w:r>
      <w:proofErr w:type="gramEnd"/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865C9A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составили 22,4 тыс. рублей, или 0,1% в общих доходах и 1,0% в собственных;</w:t>
      </w:r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865C9A">
        <w:rPr>
          <w:sz w:val="28"/>
          <w:szCs w:val="28"/>
        </w:rPr>
        <w:t>доходы от продажи материальных и нематериальных активов составили 78,1 тыс. рублей, или 0,6% в общих доходах и 3,% в собственных;</w:t>
      </w:r>
    </w:p>
    <w:p w:rsidR="000539AD" w:rsidRPr="00865C9A" w:rsidRDefault="000539AD" w:rsidP="000539A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865C9A">
        <w:rPr>
          <w:sz w:val="28"/>
          <w:szCs w:val="28"/>
        </w:rPr>
        <w:t>штрафы, санкции, возмещение ущерба – 4,2 тыс. рублей, в общих доходах составили 0,003%, в собственных 0,2%.</w:t>
      </w:r>
      <w:proofErr w:type="gramEnd"/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100% к уточненному плану их поступления, а к первоначально утверждаемому выполнение составило 82,3%.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В том числе налоговые доходы исполнены на 79,1%: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налога на доходы физических лиц поступило 100,5% (вместо 344,0 тыс. рублей исполнение составило 345,8 тыс. рублей);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единого сельскохозяйственного налога поступило 11,0% (вместо 111,0 тыс. рублей исполнение составило 12,2 тыс. рублей);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налога на имущество физических лиц поступило 58,1% (вместо 832,0 тыс. рублей исполнение составило 483,2 тыс. рублей);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к первоначальному запланированному поступлению земельного налога с организаций поступило 79,5% (вместо 583,0 тыс. рублей исполнение составило 463,5 тыс. рублей); 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lastRenderedPageBreak/>
        <w:t xml:space="preserve">к первоначальному запланированному поступлению земельного налога с физических лиц поступило 96,6% (вместо 881,0 тыс. рублей исполнение составило 850,7 тыс. рублей); </w:t>
      </w:r>
    </w:p>
    <w:p w:rsidR="000539AD" w:rsidRPr="00865C9A" w:rsidRDefault="000539AD" w:rsidP="000539A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к первоначальному запланированному объему поступления государственной пошлины поступило 365,7% (вместо 7,0 тыс. рублей исполнение составило 25,6 тыс. рублей).</w:t>
      </w:r>
    </w:p>
    <w:p w:rsidR="000539AD" w:rsidRPr="00865C9A" w:rsidRDefault="000539AD" w:rsidP="000539AD">
      <w:pPr>
        <w:pStyle w:val="1"/>
        <w:ind w:left="1287" w:right="-144" w:firstLine="0"/>
        <w:jc w:val="center"/>
        <w:rPr>
          <w:sz w:val="16"/>
          <w:szCs w:val="16"/>
        </w:rPr>
      </w:pPr>
    </w:p>
    <w:p w:rsidR="000539AD" w:rsidRPr="00865C9A" w:rsidRDefault="000539AD" w:rsidP="000D10EE">
      <w:pPr>
        <w:pStyle w:val="1"/>
        <w:ind w:right="-144" w:firstLine="0"/>
        <w:rPr>
          <w:sz w:val="16"/>
          <w:szCs w:val="16"/>
        </w:rPr>
      </w:pPr>
    </w:p>
    <w:p w:rsidR="000539AD" w:rsidRPr="00865C9A" w:rsidRDefault="000539AD" w:rsidP="000539AD">
      <w:pPr>
        <w:pStyle w:val="1"/>
        <w:ind w:right="-144" w:firstLine="567"/>
        <w:rPr>
          <w:sz w:val="28"/>
          <w:szCs w:val="28"/>
        </w:rPr>
      </w:pPr>
      <w:r w:rsidRPr="00865C9A">
        <w:rPr>
          <w:sz w:val="28"/>
          <w:szCs w:val="28"/>
        </w:rPr>
        <w:t>Общая сумма безвозмездных поступлений получена в сумме 11 881,4 тыс. рублей и составила 83,9% в общем объеме доходов (в 2019 году – 89,3%).</w:t>
      </w:r>
    </w:p>
    <w:p w:rsidR="000539AD" w:rsidRPr="00865C9A" w:rsidRDefault="000539AD" w:rsidP="000539AD">
      <w:pPr>
        <w:pStyle w:val="1"/>
        <w:ind w:right="-144" w:firstLine="567"/>
        <w:rPr>
          <w:sz w:val="28"/>
          <w:szCs w:val="28"/>
        </w:rPr>
      </w:pPr>
      <w:r w:rsidRPr="00865C9A">
        <w:rPr>
          <w:sz w:val="28"/>
          <w:szCs w:val="28"/>
        </w:rPr>
        <w:t>Источниками безвозмездных поступлений являются:</w:t>
      </w:r>
    </w:p>
    <w:p w:rsidR="000539AD" w:rsidRPr="00865C9A" w:rsidRDefault="000539AD" w:rsidP="000539AD">
      <w:pPr>
        <w:pStyle w:val="1"/>
        <w:ind w:right="-144" w:firstLine="567"/>
        <w:rPr>
          <w:sz w:val="28"/>
          <w:szCs w:val="28"/>
        </w:rPr>
      </w:pPr>
      <w:proofErr w:type="gramStart"/>
      <w:r w:rsidRPr="00865C9A">
        <w:rPr>
          <w:bCs/>
          <w:sz w:val="28"/>
          <w:szCs w:val="28"/>
        </w:rPr>
        <w:t xml:space="preserve">- дотации бюджету сельского поселения, удельный вес которых в безвозмездных поступлениях составил 66,1%, </w:t>
      </w:r>
      <w:r w:rsidRPr="00865C9A">
        <w:rPr>
          <w:sz w:val="28"/>
          <w:szCs w:val="28"/>
        </w:rPr>
        <w:t>в общем объеме доходов бюджета</w:t>
      </w:r>
      <w:r w:rsidRPr="00865C9A">
        <w:rPr>
          <w:bCs/>
          <w:sz w:val="28"/>
          <w:szCs w:val="28"/>
        </w:rPr>
        <w:t xml:space="preserve"> 55,5%</w:t>
      </w:r>
      <w:r w:rsidRPr="00865C9A">
        <w:rPr>
          <w:sz w:val="28"/>
          <w:szCs w:val="28"/>
        </w:rPr>
        <w:t>, в том числе дотации на выравнивание бюджетной обеспеченности 5 168,0 тыс. рублей, дотации на поддержку мер по обеспечению сбалансированности бюджетов 1 794,4 тыс. рублей; дотации на частичную компенсацию дополнительных расходов на повышение оплаты труда работников бюджетной сферы и иные цели;</w:t>
      </w:r>
      <w:proofErr w:type="gramEnd"/>
    </w:p>
    <w:p w:rsidR="000539AD" w:rsidRPr="00865C9A" w:rsidRDefault="000539AD" w:rsidP="000539AD">
      <w:pPr>
        <w:pStyle w:val="1"/>
        <w:ind w:right="-144" w:firstLine="567"/>
        <w:rPr>
          <w:sz w:val="28"/>
          <w:szCs w:val="28"/>
        </w:rPr>
      </w:pPr>
      <w:r w:rsidRPr="00865C9A">
        <w:rPr>
          <w:sz w:val="28"/>
          <w:szCs w:val="28"/>
        </w:rPr>
        <w:t xml:space="preserve">- субсидии бюджету сельского поселения составили 3 362,1 рублей с удельным весом в общей сумме доходов 23,7%; </w:t>
      </w:r>
    </w:p>
    <w:p w:rsidR="000539AD" w:rsidRPr="00865C9A" w:rsidRDefault="000539AD" w:rsidP="000539AD">
      <w:pPr>
        <w:pStyle w:val="1"/>
        <w:ind w:right="-144" w:firstLine="567"/>
        <w:rPr>
          <w:bCs/>
          <w:sz w:val="28"/>
          <w:szCs w:val="28"/>
        </w:rPr>
      </w:pPr>
      <w:r w:rsidRPr="00865C9A">
        <w:rPr>
          <w:sz w:val="28"/>
          <w:szCs w:val="28"/>
        </w:rPr>
        <w:t>с</w:t>
      </w:r>
      <w:r w:rsidRPr="00865C9A">
        <w:rPr>
          <w:bCs/>
          <w:sz w:val="28"/>
          <w:szCs w:val="28"/>
        </w:rPr>
        <w:t>убвенции бюджету сельского поселения составили 235,9 тыс. рублей или 1,7% в общем объеме доходов бюджета;</w:t>
      </w:r>
    </w:p>
    <w:p w:rsidR="000539AD" w:rsidRPr="00865C9A" w:rsidRDefault="000539AD" w:rsidP="000539AD">
      <w:pPr>
        <w:pStyle w:val="1"/>
        <w:ind w:right="-144" w:firstLine="567"/>
        <w:rPr>
          <w:bCs/>
          <w:sz w:val="28"/>
          <w:szCs w:val="28"/>
        </w:rPr>
      </w:pPr>
      <w:r w:rsidRPr="00865C9A">
        <w:rPr>
          <w:bCs/>
          <w:sz w:val="28"/>
          <w:szCs w:val="28"/>
        </w:rPr>
        <w:t>прочие межбюджетные трансферты в бюджете сельского поселения составили 374,0 тыс. рублей или 2,6% в общих доходах;</w:t>
      </w:r>
    </w:p>
    <w:p w:rsidR="000539AD" w:rsidRPr="00865C9A" w:rsidRDefault="000539AD" w:rsidP="000539AD">
      <w:pPr>
        <w:pStyle w:val="1"/>
        <w:ind w:right="-144" w:firstLine="567"/>
        <w:rPr>
          <w:bCs/>
          <w:sz w:val="28"/>
          <w:szCs w:val="28"/>
        </w:rPr>
      </w:pPr>
      <w:r w:rsidRPr="00865C9A">
        <w:rPr>
          <w:bCs/>
          <w:sz w:val="28"/>
          <w:szCs w:val="28"/>
        </w:rPr>
        <w:t>прочие безвозмездные поступления в бюджет сельского поселения составили 54,7 тыс. рублей или 0,4% в общем объеме доходов бюджета.</w:t>
      </w:r>
    </w:p>
    <w:p w:rsidR="000539AD" w:rsidRPr="00865C9A" w:rsidRDefault="000539AD" w:rsidP="000539AD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сельского поселения Кичменгское законом о бюджете области и решением о районном бюджете на 2020 год. Дотации, субсидии, субвенции, </w:t>
      </w:r>
      <w:r w:rsidRPr="00865C9A">
        <w:rPr>
          <w:bCs/>
          <w:sz w:val="28"/>
          <w:szCs w:val="28"/>
        </w:rPr>
        <w:t xml:space="preserve">прочие безвозмездные поступления </w:t>
      </w:r>
      <w:r w:rsidRPr="00865C9A">
        <w:rPr>
          <w:sz w:val="28"/>
          <w:szCs w:val="28"/>
        </w:rPr>
        <w:t>в полном объеме отражены в бюджете сельского поселения.</w:t>
      </w:r>
    </w:p>
    <w:p w:rsidR="000539AD" w:rsidRPr="00865C9A" w:rsidRDefault="000539AD" w:rsidP="000539AD">
      <w:pPr>
        <w:autoSpaceDE w:val="0"/>
        <w:autoSpaceDN w:val="0"/>
        <w:adjustRightInd w:val="0"/>
        <w:ind w:right="-144" w:firstLine="540"/>
        <w:jc w:val="both"/>
        <w:rPr>
          <w:sz w:val="14"/>
          <w:szCs w:val="14"/>
        </w:rPr>
      </w:pPr>
    </w:p>
    <w:p w:rsidR="000539AD" w:rsidRPr="00865C9A" w:rsidRDefault="000539AD" w:rsidP="000539AD">
      <w:pPr>
        <w:pStyle w:val="10"/>
        <w:spacing w:line="240" w:lineRule="auto"/>
        <w:ind w:right="-144" w:firstLine="567"/>
        <w:rPr>
          <w:sz w:val="28"/>
          <w:szCs w:val="28"/>
        </w:rPr>
      </w:pPr>
      <w:r w:rsidRPr="00865C9A">
        <w:rPr>
          <w:bCs/>
          <w:sz w:val="28"/>
          <w:szCs w:val="28"/>
        </w:rPr>
        <w:t xml:space="preserve">Таким образом, </w:t>
      </w:r>
      <w:r w:rsidRPr="00865C9A">
        <w:rPr>
          <w:sz w:val="28"/>
          <w:szCs w:val="28"/>
        </w:rPr>
        <w:t>при анализе доходной части бюджета сельского поселения Кичменгское видно, что безвозмездные поступления составляют значительный удельный вес в общем объеме доходов, которые увеличивают зависимость сельского поселения от поступлений от других бюджетов бюджетной системы.</w:t>
      </w:r>
    </w:p>
    <w:p w:rsidR="000539AD" w:rsidRPr="00865C9A" w:rsidRDefault="000539AD" w:rsidP="000539AD">
      <w:pPr>
        <w:pStyle w:val="10"/>
        <w:spacing w:line="240" w:lineRule="auto"/>
        <w:ind w:right="-144" w:firstLine="709"/>
        <w:rPr>
          <w:sz w:val="16"/>
          <w:szCs w:val="16"/>
        </w:rPr>
      </w:pP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В течение года плановый объем расходов уточнялся девять раз. 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С учетом всех изменений в окончательном варианте решения о бюджете сельского поселения Кичменгское на 2020 год от 30.12.2020 № 37 плановые назначения по расходам бюджета сельского поселения в целом уменьшены на 1838,1 тыс. рублей, уточненный план расходов бюджета составил 13 615,7тыс. рублей (88,1% к первоначальному плану), в том числе: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– 6 556,2 тыс. рублей (минус 119,2 тыс. рублей), что составляет 48,2% от общего объема расходов (в 2019 году 24,2%), из них:</w:t>
      </w:r>
    </w:p>
    <w:p w:rsidR="000539AD" w:rsidRPr="00865C9A" w:rsidRDefault="000539AD" w:rsidP="000539A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lastRenderedPageBreak/>
        <w:t>на функционирование высшего должностного лица сельского поселения 903,2тыс. рублей, уменьшение на 11,8 тыс. рублей (минус 1,3%);</w:t>
      </w:r>
    </w:p>
    <w:p w:rsidR="000539AD" w:rsidRPr="00865C9A" w:rsidRDefault="000539AD" w:rsidP="000539A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на функционирование органов власти местной администрации расходы составили 5 320,7 тыс. рублей, увеличение на 3,8 тыс. рублей (плюс 0,1%);</w:t>
      </w:r>
    </w:p>
    <w:p w:rsidR="000539AD" w:rsidRPr="00865C9A" w:rsidRDefault="000539AD" w:rsidP="000539A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на функционирование представительных органов муниципальных образований 137,7 тыс. рублей; увеличение на 27,3 тыс. рублей (плюс 24,7%);</w:t>
      </w:r>
    </w:p>
    <w:p w:rsidR="000539AD" w:rsidRPr="00865C9A" w:rsidRDefault="000539AD" w:rsidP="000539A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расходы на другие общегосударственные вопросы 194,6 тыс. рублей, уменьшение на 38,5 тыс. рублей (минус 16,5%).</w:t>
      </w:r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 xml:space="preserve">По состоянию на 01.01.2020 согласно данным </w:t>
      </w:r>
      <w:proofErr w:type="spellStart"/>
      <w:r w:rsidRPr="00865C9A">
        <w:rPr>
          <w:sz w:val="28"/>
          <w:szCs w:val="28"/>
        </w:rPr>
        <w:t>Вологдастата</w:t>
      </w:r>
      <w:proofErr w:type="spellEnd"/>
      <w:r w:rsidRPr="00865C9A">
        <w:rPr>
          <w:sz w:val="28"/>
          <w:szCs w:val="28"/>
        </w:rPr>
        <w:t xml:space="preserve"> численность постоянного населения сельского поселения составляла 4 106 человек.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proofErr w:type="gramStart"/>
      <w:r w:rsidRPr="00865C9A">
        <w:rPr>
          <w:sz w:val="28"/>
          <w:szCs w:val="28"/>
        </w:rPr>
        <w:t>Согласно постановлению Правительства Вологодской области от 28.07.2008 № 1416 (в ред. от 10.03.2020 № 211)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 формирование фонда оплаты труда (с начислениями) депутатов, выборных должностных лиц местного самоуправления, осуществляющих свои 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865C9A">
        <w:rPr>
          <w:sz w:val="28"/>
          <w:szCs w:val="28"/>
        </w:rPr>
        <w:t xml:space="preserve"> 3,5 до 5 тысяч человек установлен в размере 4 308,2 тыс. рублей.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2020 году составили 4 149,2 тыс. рублей [181,5% от собственных доходов (в 2019 году 140,9%)].</w:t>
      </w:r>
    </w:p>
    <w:p w:rsidR="000539AD" w:rsidRPr="00865C9A" w:rsidRDefault="000539AD" w:rsidP="000539AD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Таким образом, норматив оплаты труда, установленный Правительством области, сельским поселением Кичменгское в 2020 году соблюден.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02 «Национальная оборона» - 233,9 тыс. рублей, или 1,7% в общем объеме расходов;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– 263,2 тыс. рублей (плюс 128,2 тыс. рублей), удельный вес в общем объеме составил 1,9%;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04 «Национальная экономика» годовые назначения исполнены в сумме 490,8 тыс. рублей (плюс 361,3 тыс. рублей), что составляет 3,6 % в общем объеме расходов;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04 «Национальная экономика» годовые назначения исполнены в сумме 490,8 тыс. рублей (плюс 361,3 тыс. рублей), что составляет 3,6 % в общем объеме расходов;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– годовые назначения исполнены в сумме 4 704,9 (минус 2 145,6 тыс. рублей), что составляет 34,6 % в общем объеме расходов;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по разделу 10 «Социальная политика» - расходы 1 359,2 тыс. рублей (минус 22,8 тыс. рублей), в общих расходах 10,0%.</w:t>
      </w:r>
    </w:p>
    <w:p w:rsidR="000539AD" w:rsidRPr="00865C9A" w:rsidRDefault="000539AD" w:rsidP="000539A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- первоначальный план 40,0 тыс. рублей, уточненный минус 40,0 тыс. рублей. </w:t>
      </w:r>
      <w:r w:rsidRPr="00865C9A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Расходы</w:t>
      </w:r>
      <w:r w:rsidRPr="00865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отчетном периоде </w:t>
      </w:r>
      <w:r w:rsidRPr="00865C9A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</w:t>
      </w:r>
      <w:r w:rsidRPr="00865C9A">
        <w:rPr>
          <w:rFonts w:ascii="Times New Roman" w:hAnsi="Times New Roman" w:cs="Times New Roman"/>
          <w:sz w:val="28"/>
          <w:szCs w:val="28"/>
          <w:shd w:val="clear" w:color="auto" w:fill="FFFFFF"/>
        </w:rPr>
        <w:t> осуществлялись.</w:t>
      </w:r>
    </w:p>
    <w:p w:rsidR="000539AD" w:rsidRPr="00865C9A" w:rsidRDefault="000539AD" w:rsidP="000539AD">
      <w:pPr>
        <w:pStyle w:val="ae"/>
        <w:ind w:left="0" w:right="-144"/>
        <w:jc w:val="both"/>
        <w:rPr>
          <w:rFonts w:ascii="Times New Roman" w:hAnsi="Times New Roman" w:cs="Times New Roman"/>
          <w:sz w:val="14"/>
          <w:szCs w:val="14"/>
        </w:rPr>
      </w:pPr>
    </w:p>
    <w:p w:rsidR="000539AD" w:rsidRPr="00865C9A" w:rsidRDefault="000539AD" w:rsidP="000539AD">
      <w:pPr>
        <w:pStyle w:val="ae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lastRenderedPageBreak/>
        <w:t xml:space="preserve">Расходная часть бюджета сельского поселения за 2020 год исполнена </w:t>
      </w:r>
      <w:proofErr w:type="gramStart"/>
      <w:r w:rsidRPr="00865C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39AD" w:rsidRPr="00865C9A" w:rsidRDefault="000539AD" w:rsidP="000539AD">
      <w:pPr>
        <w:ind w:right="-144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99,9% от уточненных бюджетных назначений.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Наибольший удельный вес (по факту исполнения) в общих расходах бюджета сельского поселения Кичменгское составили расходы по разделам: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48,2% - общегосударственные вопросы;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34,6% - жилищно-коммунальное хозяйство;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10,0% - социальная политика.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Анализируя данные, также можно сделать выводы о том, что расходы на национальную оборону (1,7%), национальную безопасность и правоохранительную деятельность (1,9%) являются совсем незначительными.</w:t>
      </w:r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ind w:firstLine="567"/>
        <w:jc w:val="both"/>
        <w:rPr>
          <w:bCs/>
          <w:sz w:val="28"/>
          <w:szCs w:val="28"/>
        </w:rPr>
      </w:pPr>
      <w:proofErr w:type="gramStart"/>
      <w:r w:rsidRPr="00865C9A">
        <w:rPr>
          <w:bCs/>
          <w:sz w:val="28"/>
          <w:szCs w:val="28"/>
        </w:rPr>
        <w:t xml:space="preserve">В результате проведения экспертно-аналитического мероприятия выявлено: объемы доходов и расходов бюджета, указанных в отчете об исполнении бюджета сельского поселения Кичменгское за 2020 год, соответствуют объемам доходов и расходов бюджета сельского поселения Кичменгское, утвержденных решением Совета сельского поселения Кичменгское </w:t>
      </w:r>
      <w:r w:rsidRPr="00865C9A">
        <w:rPr>
          <w:sz w:val="28"/>
          <w:szCs w:val="28"/>
        </w:rPr>
        <w:t xml:space="preserve">от 25.12.2019 № 32 «О бюджете сельского поселения Кичменгское на 2020 год и плановый период 2021 и 2022 годов» </w:t>
      </w:r>
      <w:r w:rsidRPr="00865C9A">
        <w:rPr>
          <w:bCs/>
          <w:sz w:val="28"/>
          <w:szCs w:val="28"/>
        </w:rPr>
        <w:t>(в редакции решения от</w:t>
      </w:r>
      <w:proofErr w:type="gramEnd"/>
      <w:r w:rsidRPr="00865C9A">
        <w:rPr>
          <w:bCs/>
          <w:sz w:val="28"/>
          <w:szCs w:val="28"/>
        </w:rPr>
        <w:t> </w:t>
      </w:r>
      <w:proofErr w:type="gramStart"/>
      <w:r w:rsidRPr="00865C9A">
        <w:rPr>
          <w:bCs/>
          <w:sz w:val="28"/>
          <w:szCs w:val="28"/>
        </w:rPr>
        <w:t>30.12.2020 № 37).</w:t>
      </w:r>
      <w:proofErr w:type="gramEnd"/>
    </w:p>
    <w:p w:rsidR="000539AD" w:rsidRPr="00865C9A" w:rsidRDefault="000539AD" w:rsidP="000539AD">
      <w:pPr>
        <w:ind w:right="-144" w:firstLine="567"/>
        <w:jc w:val="both"/>
        <w:rPr>
          <w:sz w:val="16"/>
          <w:szCs w:val="16"/>
        </w:rPr>
      </w:pPr>
    </w:p>
    <w:p w:rsidR="000539AD" w:rsidRPr="00865C9A" w:rsidRDefault="000539AD" w:rsidP="000539AD">
      <w:pPr>
        <w:ind w:right="-144" w:firstLine="709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Общая сумма дебиторской задолженности относительно суммы 33 662,4 тыс. рублей, отраженной на 01.01.2020, увеличилась в течение отчетного периода на 3 666,1 тыс. рублей, и на 01.01.2021 составила 37 328,5 тыс. рублей, в том числе просроченная 2 985,3 тыс. рублей.</w:t>
      </w: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Pr="00865C9A">
        <w:rPr>
          <w:rFonts w:ascii="Times New Roman" w:hAnsi="Times New Roman" w:cs="Times New Roman"/>
          <w:sz w:val="28"/>
          <w:szCs w:val="28"/>
          <w:u w:val="single"/>
        </w:rPr>
        <w:t>счету 20500 «Расчеты по доходам»</w:t>
      </w:r>
      <w:r w:rsidRPr="00865C9A">
        <w:rPr>
          <w:rFonts w:ascii="Times New Roman" w:hAnsi="Times New Roman" w:cs="Times New Roman"/>
          <w:sz w:val="28"/>
          <w:szCs w:val="28"/>
        </w:rPr>
        <w:t xml:space="preserve"> - 37 327,3 тыс. рублей, на 3 664,9 тыс. рублей больше, чем на 1 января 2020 года (33 662,4 тыс. рублей). Сумма просроченной задолженности составляет 2 985,3 тыс. рублей. </w:t>
      </w:r>
    </w:p>
    <w:p w:rsidR="000539AD" w:rsidRPr="00865C9A" w:rsidRDefault="000539AD" w:rsidP="000539A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- по коду счета 20511 «Расчеты с плательщиками налогов» 2 985,3 тыс. рублей. По показателю счета </w:t>
      </w:r>
      <w:r w:rsidRPr="00865C9A">
        <w:rPr>
          <w:rFonts w:ascii="Times New Roman" w:hAnsi="Times New Roman" w:cs="Times New Roman"/>
          <w:sz w:val="28"/>
        </w:rPr>
        <w:t>использованы сведения налогового органа о задолженности по налоговым платежам, подлежащим зачислению в бюджет сельского поселения Кичменгское.</w:t>
      </w:r>
      <w:r w:rsidRPr="00865C9A">
        <w:rPr>
          <w:rFonts w:ascii="Times New Roman" w:hAnsi="Times New Roman" w:cs="Times New Roman"/>
          <w:sz w:val="28"/>
          <w:szCs w:val="28"/>
        </w:rPr>
        <w:t xml:space="preserve"> Вся задолженность по расчетам с плательщиками налоговых доходов в бюджет сельского поселения является просроченной;</w:t>
      </w:r>
    </w:p>
    <w:p w:rsidR="000539AD" w:rsidRPr="00865C9A" w:rsidRDefault="000539AD" w:rsidP="000539A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- по коду счета 20523 «Расчеты по доходам от операционной аренды» 69,3тыс. рублей;</w:t>
      </w:r>
    </w:p>
    <w:p w:rsidR="000539AD" w:rsidRPr="00865C9A" w:rsidRDefault="000539AD" w:rsidP="000539A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- по коду счета 20551 «Расчеты по безвозмездным поступлениям» (доходы будущих периодов) 34 272,6 рублей.</w:t>
      </w: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             По </w:t>
      </w:r>
      <w:r w:rsidRPr="00865C9A">
        <w:rPr>
          <w:rFonts w:ascii="Times New Roman" w:hAnsi="Times New Roman" w:cs="Times New Roman"/>
          <w:sz w:val="28"/>
          <w:szCs w:val="28"/>
          <w:u w:val="single"/>
        </w:rPr>
        <w:t>счету 20600 «Расчеты по авансам»</w:t>
      </w:r>
      <w:r w:rsidRPr="00865C9A">
        <w:rPr>
          <w:rFonts w:ascii="Times New Roman" w:hAnsi="Times New Roman" w:cs="Times New Roman"/>
          <w:sz w:val="28"/>
          <w:szCs w:val="28"/>
        </w:rPr>
        <w:t xml:space="preserve"> - 1,2тыс. рублей, на 1,2 тыс. рублей больше, чем на 1 января 2020 года;</w:t>
      </w: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- по коду счета 20621 «Расчеты по авансам по услугам связи» 1,2 тыс. рублей;</w:t>
      </w: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- по коду счета 20634 «Расчеты по авансам по приобретению материальных запасов» 0,01 тыс. рублей.</w:t>
      </w:r>
    </w:p>
    <w:p w:rsidR="000539AD" w:rsidRPr="00865C9A" w:rsidRDefault="000539AD" w:rsidP="000539AD">
      <w:pPr>
        <w:pStyle w:val="ae"/>
        <w:tabs>
          <w:tab w:val="left" w:pos="-1800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Style w:val="af1"/>
          <w:rFonts w:ascii="Times New Roman" w:hAnsi="Times New Roman" w:cs="Times New Roman"/>
          <w:b/>
          <w:i/>
          <w:sz w:val="28"/>
          <w:szCs w:val="28"/>
        </w:rPr>
        <w:lastRenderedPageBreak/>
        <w:footnoteReference w:id="2"/>
      </w:r>
      <w:r w:rsidRPr="00865C9A">
        <w:rPr>
          <w:rFonts w:ascii="Times New Roman" w:hAnsi="Times New Roman" w:cs="Times New Roman"/>
          <w:sz w:val="28"/>
          <w:szCs w:val="28"/>
        </w:rPr>
        <w:t xml:space="preserve"> Наличие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5C9A">
        <w:rPr>
          <w:rFonts w:ascii="Times New Roman" w:hAnsi="Times New Roman" w:cs="Times New Roman"/>
          <w:sz w:val="28"/>
          <w:szCs w:val="28"/>
        </w:rPr>
        <w:t xml:space="preserve">о </w:t>
      </w:r>
      <w:r w:rsidRPr="00522387">
        <w:rPr>
          <w:rFonts w:ascii="Times New Roman" w:hAnsi="Times New Roman" w:cs="Times New Roman"/>
          <w:sz w:val="28"/>
          <w:szCs w:val="28"/>
        </w:rPr>
        <w:t xml:space="preserve">счету 20600 «Расчеты по авансам» </w:t>
      </w:r>
      <w:r w:rsidRPr="00865C9A">
        <w:rPr>
          <w:rFonts w:ascii="Times New Roman" w:hAnsi="Times New Roman" w:cs="Times New Roman"/>
          <w:sz w:val="28"/>
          <w:szCs w:val="28"/>
        </w:rPr>
        <w:t>свидетельствует об отвлечении и неэффективно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C9A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C9A">
        <w:rPr>
          <w:rFonts w:ascii="Times New Roman" w:hAnsi="Times New Roman" w:cs="Times New Roman"/>
          <w:sz w:val="28"/>
          <w:szCs w:val="28"/>
        </w:rPr>
        <w:t xml:space="preserve"> бюджетных средств, что </w:t>
      </w:r>
      <w:r>
        <w:rPr>
          <w:rFonts w:ascii="Times New Roman" w:hAnsi="Times New Roman" w:cs="Times New Roman"/>
          <w:sz w:val="28"/>
          <w:szCs w:val="28"/>
        </w:rPr>
        <w:t>противоречит</w:t>
      </w:r>
      <w:r w:rsidRPr="00865C9A">
        <w:rPr>
          <w:rFonts w:ascii="Times New Roman" w:hAnsi="Times New Roman" w:cs="Times New Roman"/>
          <w:sz w:val="28"/>
          <w:szCs w:val="28"/>
        </w:rPr>
        <w:t xml:space="preserve"> статье 34 БК РФ.</w:t>
      </w: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9AD" w:rsidRPr="00865C9A" w:rsidRDefault="000539AD" w:rsidP="000539AD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 xml:space="preserve">         Администрацией не приняты исчерпывающие меры по сокращению задолженности по уплате налогов и операционной аренды в местный бюджет. Мобилизация задолженности в бюджет сельского поселения Кичменгское и повышение эффективности исполнения доходной части бюджета в рамках деятельности созданной межведомственной комиссии по неплатежам в бюджет поселения и легализации объектов налогообложения осуществляется не на должном уровне.</w:t>
      </w:r>
    </w:p>
    <w:p w:rsidR="000539AD" w:rsidRPr="00865C9A" w:rsidRDefault="000539AD" w:rsidP="000539AD">
      <w:pPr>
        <w:tabs>
          <w:tab w:val="left" w:pos="-1800"/>
        </w:tabs>
        <w:ind w:right="-144" w:firstLine="540"/>
        <w:jc w:val="both"/>
        <w:rPr>
          <w:sz w:val="14"/>
          <w:szCs w:val="14"/>
        </w:rPr>
      </w:pPr>
    </w:p>
    <w:p w:rsidR="000539AD" w:rsidRPr="00865C9A" w:rsidRDefault="000539AD" w:rsidP="00053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C9A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01.01.2021 года составила 1 307,2 тыс. рублей. Относительно суммы 1 932,0 тыс. рублей, отраженной на 01.01.2020, в течение отчетного периода кредиторская задолженность уменьшилась на 624,8 тыс. рублей. В кредиторскую задолженность включена сумма по налогам и сборам 552,4 тыс. рублей (42,3%), администратором которых является налоговая служба.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Просроченной кредиторской задолженности по состоянию на 01.01.2021 не числится.</w:t>
      </w:r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tabs>
          <w:tab w:val="left" w:pos="540"/>
        </w:tabs>
        <w:ind w:firstLine="567"/>
        <w:rPr>
          <w:b/>
          <w:bCs/>
        </w:rPr>
      </w:pPr>
      <w:r w:rsidRPr="00865C9A">
        <w:rPr>
          <w:b/>
          <w:bCs/>
        </w:rPr>
        <w:t>Заключительные положения</w:t>
      </w:r>
    </w:p>
    <w:p w:rsidR="000539AD" w:rsidRPr="00865C9A" w:rsidRDefault="000539AD" w:rsidP="000539AD">
      <w:pPr>
        <w:tabs>
          <w:tab w:val="left" w:pos="540"/>
        </w:tabs>
        <w:ind w:firstLine="567"/>
        <w:rPr>
          <w:bCs/>
          <w:sz w:val="14"/>
          <w:szCs w:val="14"/>
        </w:rPr>
      </w:pP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>Внешняя проверка отчета об исполнении бюджета сельского поселения Кичменгское за 2020 год показала, что бюджетная отчетность сформирована 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>Бюджет сельского поселения Кичменгское за 2020 год исполнен:</w:t>
      </w: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>- по доходам в сумме 14 167,1 тыс. рублей (99,9% от утвержденного объема доходов на 30.12.2020 в сумме 14 174,6 тыс. рублей);</w:t>
      </w: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>- по расходам в сумме 13 608,2 тыс. рублей (99,9% от утвержденного объема расходов на 30.12.2020 в сумме 13 615,7 тыс. рублей);</w:t>
      </w: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профицитом</w:t>
      </w:r>
      <w:proofErr w:type="spellEnd"/>
      <w:r w:rsidRPr="00865C9A">
        <w:rPr>
          <w:sz w:val="28"/>
          <w:szCs w:val="28"/>
        </w:rPr>
        <w:t xml:space="preserve"> в сумме  558,9 тыс. рублей.</w:t>
      </w:r>
    </w:p>
    <w:p w:rsidR="000539AD" w:rsidRPr="00865C9A" w:rsidRDefault="000539AD" w:rsidP="000539A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5C9A">
        <w:rPr>
          <w:sz w:val="28"/>
          <w:szCs w:val="28"/>
        </w:rPr>
        <w:t>Отчет об исполнении бюджета сельского поселения Кичменгское за 2020 год по форме и содержанию  соответствует положениям Бюджетного кодекса Российской Федерации и отражает достоверно кассовое исполнение доходов, расходов и источников финансирования дефицита бюджета сельского поселения за период с 1 января 2020 года по 31 декабря 2020 года включительно.</w:t>
      </w:r>
    </w:p>
    <w:p w:rsidR="000539AD" w:rsidRPr="00865C9A" w:rsidRDefault="000539AD" w:rsidP="000539AD">
      <w:pPr>
        <w:ind w:firstLine="567"/>
        <w:jc w:val="both"/>
        <w:rPr>
          <w:bCs/>
          <w:sz w:val="28"/>
          <w:szCs w:val="28"/>
        </w:rPr>
      </w:pPr>
      <w:proofErr w:type="gramStart"/>
      <w:r w:rsidRPr="00865C9A">
        <w:rPr>
          <w:bCs/>
          <w:sz w:val="28"/>
          <w:szCs w:val="28"/>
        </w:rPr>
        <w:t xml:space="preserve">В результате проведения экспертно-аналитического мероприятия выявлено: объемы доходов и расходов бюджета, указанных в отчете об исполнении бюджета сельского поселения Кичменгское за 2020 год, соответствуют объемам доходов и расходов бюджета сельского поселения Кичменгское, утвержденных решением Совета сельского поселения </w:t>
      </w:r>
      <w:r w:rsidRPr="00865C9A">
        <w:rPr>
          <w:bCs/>
          <w:sz w:val="28"/>
          <w:szCs w:val="28"/>
        </w:rPr>
        <w:lastRenderedPageBreak/>
        <w:t xml:space="preserve">Кичменгское </w:t>
      </w:r>
      <w:r w:rsidRPr="00865C9A">
        <w:rPr>
          <w:sz w:val="28"/>
          <w:szCs w:val="28"/>
        </w:rPr>
        <w:t xml:space="preserve">от 25.12.2019 № 32 «О бюджете сельского поселения Кичменгское на 2020 год и плановый период 2021 и 2022 годов» </w:t>
      </w:r>
      <w:r w:rsidRPr="00865C9A">
        <w:rPr>
          <w:bCs/>
          <w:sz w:val="28"/>
          <w:szCs w:val="28"/>
        </w:rPr>
        <w:t>(в редакции решения от</w:t>
      </w:r>
      <w:proofErr w:type="gramEnd"/>
      <w:r w:rsidRPr="00865C9A">
        <w:rPr>
          <w:bCs/>
          <w:sz w:val="28"/>
          <w:szCs w:val="28"/>
        </w:rPr>
        <w:t> </w:t>
      </w:r>
      <w:proofErr w:type="gramStart"/>
      <w:r w:rsidRPr="00865C9A">
        <w:rPr>
          <w:bCs/>
          <w:sz w:val="28"/>
          <w:szCs w:val="28"/>
        </w:rPr>
        <w:t>30.12.2020 № 37).</w:t>
      </w:r>
      <w:proofErr w:type="gramEnd"/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ind w:right="-2" w:firstLine="567"/>
        <w:rPr>
          <w:b/>
        </w:rPr>
      </w:pPr>
      <w:r w:rsidRPr="00865C9A">
        <w:rPr>
          <w:b/>
        </w:rPr>
        <w:t>Выводы по результатам внешней проверки</w:t>
      </w:r>
    </w:p>
    <w:p w:rsidR="000539AD" w:rsidRPr="00865C9A" w:rsidRDefault="000539AD" w:rsidP="000539AD">
      <w:pPr>
        <w:ind w:right="-144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1. Фактов несвоевременности представления бюджетной отчетности не выявлено.</w:t>
      </w:r>
    </w:p>
    <w:p w:rsidR="000539AD" w:rsidRPr="00865C9A" w:rsidRDefault="000539AD" w:rsidP="000539AD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2020 год, не установлено.</w:t>
      </w:r>
    </w:p>
    <w:p w:rsidR="000539AD" w:rsidRPr="00865C9A" w:rsidRDefault="000539AD" w:rsidP="000539AD">
      <w:pPr>
        <w:ind w:right="-2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3. Внешняя проверка годовой бюджетной отчетности администрации сельского поселения Кичменгское за 2020 год подтвердила полноту и достоверность представленного годового отчета об исполнении бюджета.</w:t>
      </w:r>
    </w:p>
    <w:p w:rsidR="000539AD" w:rsidRPr="00865C9A" w:rsidRDefault="000539AD" w:rsidP="000539AD">
      <w:pPr>
        <w:ind w:right="-2" w:firstLine="567"/>
        <w:jc w:val="both"/>
        <w:rPr>
          <w:sz w:val="14"/>
          <w:szCs w:val="14"/>
        </w:rPr>
      </w:pPr>
    </w:p>
    <w:p w:rsidR="000539AD" w:rsidRPr="00865C9A" w:rsidRDefault="000539AD" w:rsidP="000539AD">
      <w:pPr>
        <w:rPr>
          <w:b/>
        </w:rPr>
      </w:pPr>
      <w:r w:rsidRPr="00865C9A">
        <w:rPr>
          <w:b/>
        </w:rPr>
        <w:t xml:space="preserve">Предложения по результатам внешней проверки </w:t>
      </w:r>
    </w:p>
    <w:p w:rsidR="000539AD" w:rsidRPr="00865C9A" w:rsidRDefault="000539AD" w:rsidP="000539AD">
      <w:pPr>
        <w:rPr>
          <w:sz w:val="14"/>
          <w:szCs w:val="14"/>
        </w:rPr>
      </w:pPr>
    </w:p>
    <w:p w:rsidR="000539AD" w:rsidRPr="00865C9A" w:rsidRDefault="000539AD" w:rsidP="000539AD">
      <w:pPr>
        <w:ind w:firstLine="708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1. Администрации сельского поселения Кичменгское соблюдать порядок составления годовой бюджетной отчетности согласно Приказу Минфина России от 29.12.2010 № 191н «Об утверждении Инструкции о 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539AD" w:rsidRPr="00865C9A" w:rsidRDefault="000539AD" w:rsidP="000539AD">
      <w:pPr>
        <w:ind w:right="-2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2. Учесть указанные замечания при составлении бюджетной отчетности за текущий финансовый год.</w:t>
      </w:r>
    </w:p>
    <w:p w:rsidR="000539AD" w:rsidRPr="00865C9A" w:rsidRDefault="000539AD" w:rsidP="000539AD">
      <w:pPr>
        <w:ind w:right="-2" w:firstLine="567"/>
        <w:jc w:val="both"/>
        <w:rPr>
          <w:sz w:val="28"/>
          <w:szCs w:val="28"/>
          <w:shd w:val="clear" w:color="auto" w:fill="FFFFFF"/>
        </w:rPr>
      </w:pPr>
      <w:r w:rsidRPr="00865C9A">
        <w:rPr>
          <w:sz w:val="28"/>
          <w:szCs w:val="28"/>
          <w:shd w:val="clear" w:color="auto" w:fill="FFFFFF"/>
        </w:rPr>
        <w:t xml:space="preserve">3. Активизировать работу по обеспечению уплаты местных налогов и арендных платежей, принять все необходимые меры к сокращению недоимки по платежам в бюджет сельского поселения. </w:t>
      </w:r>
    </w:p>
    <w:p w:rsidR="000539AD" w:rsidRPr="00865C9A" w:rsidRDefault="000539AD" w:rsidP="000539AD">
      <w:pPr>
        <w:ind w:right="-2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4. Рекомендовать Совету сельского поселения Кичменгское утвердить отчет об исполнении бюджета сельского поселения Кичменгское за 2020 год.</w:t>
      </w:r>
    </w:p>
    <w:p w:rsidR="000539AD" w:rsidRPr="00865C9A" w:rsidRDefault="000539AD" w:rsidP="000539AD">
      <w:pPr>
        <w:ind w:right="-2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5. После утверждения отчета Советом направить решение Совета сельского поселения Кичменгское «Об утверждении отчета об исполнении бюджета сельского поселения Кичменгское за 2020 год» в контрольно-ревизионную комиссию.</w:t>
      </w:r>
    </w:p>
    <w:p w:rsidR="000539AD" w:rsidRPr="00865C9A" w:rsidRDefault="000539AD" w:rsidP="000539AD">
      <w:pPr>
        <w:ind w:right="-285"/>
        <w:jc w:val="both"/>
        <w:rPr>
          <w:sz w:val="28"/>
          <w:szCs w:val="28"/>
        </w:rPr>
      </w:pPr>
    </w:p>
    <w:p w:rsidR="000539AD" w:rsidRPr="00865C9A" w:rsidRDefault="000539AD" w:rsidP="000539AD">
      <w:pPr>
        <w:ind w:right="-285"/>
        <w:jc w:val="both"/>
        <w:rPr>
          <w:sz w:val="28"/>
          <w:szCs w:val="28"/>
        </w:rPr>
      </w:pPr>
    </w:p>
    <w:p w:rsidR="00367E4D" w:rsidRPr="00A10D23" w:rsidRDefault="00367E4D" w:rsidP="00367E4D">
      <w:pPr>
        <w:rPr>
          <w:b/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367E4D">
      <w:pPr>
        <w:ind w:right="-144" w:firstLine="567"/>
        <w:jc w:val="both"/>
        <w:rPr>
          <w:sz w:val="28"/>
          <w:szCs w:val="28"/>
        </w:rPr>
      </w:pPr>
    </w:p>
    <w:p w:rsidR="000539AD" w:rsidRDefault="000539AD" w:rsidP="00F559EA">
      <w:pPr>
        <w:ind w:right="-144"/>
        <w:jc w:val="both"/>
        <w:rPr>
          <w:sz w:val="28"/>
          <w:szCs w:val="28"/>
        </w:rPr>
      </w:pPr>
    </w:p>
    <w:p w:rsidR="00367E4D" w:rsidRPr="00E3076C" w:rsidRDefault="00367E4D" w:rsidP="00367E4D">
      <w:pPr>
        <w:ind w:right="-2" w:firstLine="567"/>
        <w:jc w:val="both"/>
        <w:rPr>
          <w:sz w:val="28"/>
          <w:szCs w:val="28"/>
        </w:rPr>
      </w:pPr>
    </w:p>
    <w:sectPr w:rsidR="00367E4D" w:rsidRPr="00E3076C" w:rsidSect="000539AD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24" w:rsidRDefault="003D5624" w:rsidP="00367E4D">
      <w:r>
        <w:separator/>
      </w:r>
    </w:p>
  </w:endnote>
  <w:endnote w:type="continuationSeparator" w:id="0">
    <w:p w:rsidR="003D5624" w:rsidRDefault="003D5624" w:rsidP="0036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24" w:rsidRDefault="003D5624" w:rsidP="00367E4D">
      <w:r>
        <w:separator/>
      </w:r>
    </w:p>
  </w:footnote>
  <w:footnote w:type="continuationSeparator" w:id="0">
    <w:p w:rsidR="003D5624" w:rsidRDefault="003D5624" w:rsidP="00367E4D">
      <w:r>
        <w:continuationSeparator/>
      </w:r>
    </w:p>
  </w:footnote>
  <w:footnote w:id="1">
    <w:p w:rsidR="000539AD" w:rsidRDefault="000539AD" w:rsidP="000539AD">
      <w:pPr>
        <w:pStyle w:val="af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/>
          <w:b/>
          <w:i/>
          <w:sz w:val="28"/>
          <w:szCs w:val="28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  <w:footnote w:id="2">
    <w:p w:rsidR="000539AD" w:rsidRDefault="000539AD" w:rsidP="000539AD">
      <w:pPr>
        <w:pStyle w:val="af"/>
        <w:jc w:val="left"/>
      </w:pPr>
      <w:r w:rsidRPr="00F65859">
        <w:rPr>
          <w:rStyle w:val="af1"/>
          <w:rFonts w:ascii="Times New Roman" w:hAnsi="Times New Roman"/>
          <w:b/>
          <w:i/>
          <w:sz w:val="28"/>
          <w:szCs w:val="28"/>
        </w:rPr>
        <w:footnoteRef/>
      </w:r>
      <w:r w:rsidRPr="00D53351"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9"/>
      <w:docPartObj>
        <w:docPartGallery w:val="Page Numbers (Top of Page)"/>
        <w:docPartUnique/>
      </w:docPartObj>
    </w:sdtPr>
    <w:sdtContent>
      <w:p w:rsidR="00367E4D" w:rsidRDefault="007824EE">
        <w:pPr>
          <w:pStyle w:val="a3"/>
          <w:jc w:val="center"/>
        </w:pPr>
        <w:r w:rsidRPr="00367E4D">
          <w:rPr>
            <w:sz w:val="20"/>
            <w:szCs w:val="20"/>
          </w:rPr>
          <w:fldChar w:fldCharType="begin"/>
        </w:r>
        <w:r w:rsidR="00367E4D" w:rsidRPr="00367E4D">
          <w:rPr>
            <w:sz w:val="20"/>
            <w:szCs w:val="20"/>
          </w:rPr>
          <w:instrText xml:space="preserve"> PAGE   \* MERGEFORMAT </w:instrText>
        </w:r>
        <w:r w:rsidRPr="00367E4D">
          <w:rPr>
            <w:sz w:val="20"/>
            <w:szCs w:val="20"/>
          </w:rPr>
          <w:fldChar w:fldCharType="separate"/>
        </w:r>
        <w:r w:rsidR="007074EA">
          <w:rPr>
            <w:noProof/>
            <w:sz w:val="20"/>
            <w:szCs w:val="20"/>
          </w:rPr>
          <w:t>9</w:t>
        </w:r>
        <w:r w:rsidRPr="00367E4D">
          <w:rPr>
            <w:sz w:val="20"/>
            <w:szCs w:val="20"/>
          </w:rPr>
          <w:fldChar w:fldCharType="end"/>
        </w:r>
      </w:p>
    </w:sdtContent>
  </w:sdt>
  <w:p w:rsidR="00367E4D" w:rsidRDefault="00367E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A7"/>
    <w:multiLevelType w:val="multilevel"/>
    <w:tmpl w:val="906C1F4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65E38"/>
    <w:multiLevelType w:val="hybridMultilevel"/>
    <w:tmpl w:val="0EDA0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093BF9"/>
    <w:multiLevelType w:val="hybridMultilevel"/>
    <w:tmpl w:val="005AB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E6837"/>
    <w:multiLevelType w:val="hybridMultilevel"/>
    <w:tmpl w:val="AFC0CDA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05E5"/>
    <w:multiLevelType w:val="hybridMultilevel"/>
    <w:tmpl w:val="895C024A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ED49F8"/>
    <w:multiLevelType w:val="hybridMultilevel"/>
    <w:tmpl w:val="232233B2"/>
    <w:lvl w:ilvl="0" w:tplc="0C4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0E7964"/>
    <w:multiLevelType w:val="hybridMultilevel"/>
    <w:tmpl w:val="AF861F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A71906"/>
    <w:multiLevelType w:val="hybridMultilevel"/>
    <w:tmpl w:val="6EA05F30"/>
    <w:lvl w:ilvl="0" w:tplc="1806EFB8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A30D1B"/>
    <w:multiLevelType w:val="hybridMultilevel"/>
    <w:tmpl w:val="3D58DAD0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F075D5"/>
    <w:multiLevelType w:val="hybridMultilevel"/>
    <w:tmpl w:val="8494A70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5"/>
    <w:rsid w:val="00014885"/>
    <w:rsid w:val="000539AD"/>
    <w:rsid w:val="00064A46"/>
    <w:rsid w:val="00085D54"/>
    <w:rsid w:val="00091178"/>
    <w:rsid w:val="000D10EE"/>
    <w:rsid w:val="00156DB4"/>
    <w:rsid w:val="002D7A8F"/>
    <w:rsid w:val="00302DBA"/>
    <w:rsid w:val="00325661"/>
    <w:rsid w:val="00367E4D"/>
    <w:rsid w:val="003D5624"/>
    <w:rsid w:val="003E3DDC"/>
    <w:rsid w:val="0042412B"/>
    <w:rsid w:val="00424EFC"/>
    <w:rsid w:val="004349FA"/>
    <w:rsid w:val="004D08CD"/>
    <w:rsid w:val="00522060"/>
    <w:rsid w:val="00550A49"/>
    <w:rsid w:val="005859C5"/>
    <w:rsid w:val="005D14B7"/>
    <w:rsid w:val="005E52A3"/>
    <w:rsid w:val="005F75B5"/>
    <w:rsid w:val="00684E31"/>
    <w:rsid w:val="006D5D73"/>
    <w:rsid w:val="00700319"/>
    <w:rsid w:val="007074EA"/>
    <w:rsid w:val="007824EE"/>
    <w:rsid w:val="007D07B6"/>
    <w:rsid w:val="00840283"/>
    <w:rsid w:val="008427D6"/>
    <w:rsid w:val="00872298"/>
    <w:rsid w:val="00872AB0"/>
    <w:rsid w:val="00910F7F"/>
    <w:rsid w:val="009B5476"/>
    <w:rsid w:val="009D47EB"/>
    <w:rsid w:val="00AD0A4D"/>
    <w:rsid w:val="00AD4F75"/>
    <w:rsid w:val="00AF2FC9"/>
    <w:rsid w:val="00B61B74"/>
    <w:rsid w:val="00BF23CC"/>
    <w:rsid w:val="00C563D4"/>
    <w:rsid w:val="00CD534D"/>
    <w:rsid w:val="00DB1120"/>
    <w:rsid w:val="00DE7879"/>
    <w:rsid w:val="00E42EE4"/>
    <w:rsid w:val="00EE38C8"/>
    <w:rsid w:val="00EE57CF"/>
    <w:rsid w:val="00F1549C"/>
    <w:rsid w:val="00F559EA"/>
    <w:rsid w:val="00F84987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Стиль1"/>
    <w:basedOn w:val="a"/>
    <w:rsid w:val="005859C5"/>
    <w:pPr>
      <w:ind w:firstLine="720"/>
      <w:jc w:val="both"/>
    </w:pPr>
    <w:rPr>
      <w:szCs w:val="20"/>
    </w:rPr>
  </w:style>
  <w:style w:type="paragraph" w:customStyle="1" w:styleId="10">
    <w:name w:val="Обычный1"/>
    <w:rsid w:val="005859C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27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7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7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E4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7E4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67E4D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67E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6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aliases w:val="Знак Знак"/>
    <w:basedOn w:val="a0"/>
    <w:link w:val="ab"/>
    <w:locked/>
    <w:rsid w:val="00367E4D"/>
    <w:rPr>
      <w:b/>
      <w:sz w:val="28"/>
      <w:lang w:val="en-US"/>
    </w:rPr>
  </w:style>
  <w:style w:type="paragraph" w:styleId="ab">
    <w:name w:val="Title"/>
    <w:aliases w:val="Знак"/>
    <w:basedOn w:val="a"/>
    <w:link w:val="aa"/>
    <w:qFormat/>
    <w:rsid w:val="00367E4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1">
    <w:name w:val="Название Знак1"/>
    <w:basedOn w:val="a0"/>
    <w:link w:val="ab"/>
    <w:uiPriority w:val="10"/>
    <w:rsid w:val="00367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Содержимое таблицы"/>
    <w:basedOn w:val="a"/>
    <w:rsid w:val="00367E4D"/>
    <w:pPr>
      <w:suppressLineNumbers/>
      <w:suppressAutoHyphens/>
    </w:pPr>
    <w:rPr>
      <w:lang w:eastAsia="ar-SA"/>
    </w:rPr>
  </w:style>
  <w:style w:type="character" w:styleId="ad">
    <w:name w:val="Hyperlink"/>
    <w:basedOn w:val="a0"/>
    <w:uiPriority w:val="99"/>
    <w:unhideWhenUsed/>
    <w:rsid w:val="00367E4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67E4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67E4D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67E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67E4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67E4D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67E4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67E4D"/>
    <w:rPr>
      <w:vertAlign w:val="superscript"/>
    </w:rPr>
  </w:style>
  <w:style w:type="paragraph" w:customStyle="1" w:styleId="12">
    <w:name w:val="Обычный (веб)1"/>
    <w:basedOn w:val="a"/>
    <w:rsid w:val="00367E4D"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styleId="af5">
    <w:name w:val="Emphasis"/>
    <w:basedOn w:val="a0"/>
    <w:uiPriority w:val="20"/>
    <w:qFormat/>
    <w:rsid w:val="00367E4D"/>
    <w:rPr>
      <w:i/>
      <w:iCs/>
    </w:rPr>
  </w:style>
  <w:style w:type="paragraph" w:styleId="af6">
    <w:name w:val="Normal (Web)"/>
    <w:basedOn w:val="a"/>
    <w:uiPriority w:val="99"/>
    <w:semiHidden/>
    <w:unhideWhenUsed/>
    <w:rsid w:val="00367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CA6A-140D-474F-8DE9-F4AF712F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2021-05-14T08:24:00Z</dcterms:created>
  <dcterms:modified xsi:type="dcterms:W3CDTF">2021-05-14T13:37:00Z</dcterms:modified>
</cp:coreProperties>
</file>